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svg" ContentType="image/svg+xml"/>
  <Default Extension="webp" ContentType="image/png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body>
    <w:p>
      <w:pPr>
        <w:ind w:right="5"/>
        <w:spacing/>
        <w:jc w:val="center"/>
        <w:rPr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658247" behindDoc="0" locked="0" layoutInCell="0" hidden="0" allowOverlap="1">
            <wp:simplePos x="0" y="0"/>
            <wp:positionH relativeFrom="column">
              <wp:posOffset>626745</wp:posOffset>
            </wp:positionH>
            <wp:positionV relativeFrom="paragraph">
              <wp:posOffset>113665</wp:posOffset>
            </wp:positionV>
            <wp:extent cx="715645" cy="1135380"/>
            <wp:effectExtent l="0" t="0" r="0" b="0"/>
            <wp:wrapSquare wrapText="bothSides"/>
            <wp:docPr id="7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KIAAAAAAAAAAAAAAAAAAAIAAADbAwAAAAAAAAIAAACzAAAAZwQAAPwGAAAAAAAAEwgAAEMFAAAoAAAACAAAAAEAAAABAAAA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5645" cy="1135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ff0000"/>
          <w:sz w:val="28"/>
        </w:rPr>
        <w:t xml:space="preserve"> </w:t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</w:r>
    </w:p>
    <w:p>
      <w:pPr>
        <w:ind w:right="5"/>
        <w:rPr>
          <w:color w:val="ff0000"/>
          <w:sz w:val="28"/>
        </w:rPr>
      </w:pPr>
      <w:r>
        <w:rPr>
          <w:color w:val="ff0000"/>
          <w:sz w:val="28"/>
        </w:rPr>
        <w:t xml:space="preserve"> </w:t>
      </w:r>
    </w:p>
    <w:p>
      <w:pPr>
        <w:ind w:right="5"/>
        <w:rPr>
          <w:sz w:val="28"/>
          <w:u w:color="auto" w:val="single"/>
        </w:rPr>
      </w:pPr>
      <w:r>
        <w:rPr>
          <w:color w:val="ff0000"/>
          <w:sz w:val="28"/>
          <w:u w:color="auto" w:val="single"/>
        </w:rPr>
        <w:t xml:space="preserve">         </w:t>
      </w:r>
      <w:r>
        <w:rPr>
          <w:sz w:val="40"/>
          <w:u w:color="auto" w:val="single"/>
        </w:rPr>
        <w:t>Анжеро-Судженский городской округ</w:t>
      </w:r>
      <w:r>
        <w:rPr>
          <w:sz w:val="28"/>
          <w:u w:color="auto" w:val="single"/>
        </w:rPr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  <w:t xml:space="preserve">                                                          </w:t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</w:r>
    </w:p>
    <w:p>
      <w:pPr>
        <w:ind w:right="5"/>
        <w:spacing/>
        <w:jc w:val="center"/>
        <w:rPr>
          <w:color w:val="ff0000"/>
          <w:sz w:val="28"/>
        </w:rPr>
      </w:pPr>
      <w:r/>
      <w:r>
        <w:rPr>
          <w:noProof/>
        </w:rPr>
        <w:drawing>
          <wp:inline distT="0" distB="0" distL="0" distR="0">
            <wp:extent cx="5918200" cy="3954780"/>
            <wp:effectExtent l="0" t="0" r="0" b="0"/>
            <wp:docPr id="1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8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HAAAAB6AAAAAAAAAAAAAAAAAAAAAAAAAAAAAAAAAAAAAAAAAAAAAAaCQAAFQYAAAAAAAAAAAAAAAAAAAoAAAACAAAAAEAAAABAAAA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color w:val="ff0000"/>
          <w:sz w:val="28"/>
        </w:rPr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</w:r>
    </w:p>
    <w:p>
      <w:pPr>
        <w:ind w:right="5"/>
        <w:spacing/>
        <w:jc w:val="center"/>
        <w:rPr>
          <w:color w:val="ff0000"/>
          <w:sz w:val="28"/>
        </w:rPr>
      </w:pPr>
      <w:r>
        <w:rPr>
          <w:color w:val="ff0000"/>
          <w:sz w:val="28"/>
        </w:rPr>
      </w:r>
    </w:p>
    <w:p>
      <w:pPr>
        <w:ind w:right="5"/>
        <w:rPr>
          <w:sz w:val="32"/>
        </w:rPr>
      </w:pPr>
      <w:r>
        <w:rPr>
          <w:sz w:val="32"/>
        </w:rPr>
      </w:r>
    </w:p>
    <w:p>
      <w:pPr>
        <w:pStyle w:val="para4"/>
        <w:rPr>
          <w:color w:val="9bbb59"/>
        </w:rPr>
      </w:pPr>
      <w:r/>
      <w:r>
        <w:rPr>
          <w:noProof/>
        </w:rPr>
        <mc:AlternateContent>
          <mc:Choice Requires="wps">
            <w:drawing>
              <wp:inline distT="0" distB="0" distL="0" distR="0">
                <wp:extent cx="6336030" cy="1628775"/>
                <wp:effectExtent l="12700" t="12700" r="12700" b="12700"/>
                <wp:docPr id="2" name="Pictur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">
                            <sm:smNativeData xmlns:sm="sm" val="SMDATA_14_Z2JNZxMAAAAlAAAACwAAAE0AAAAAkAAAAEgAAACQAAAASAAAAAAAAAAAAAAAAAAAAAEAAABQAAAAAAAAAAAA4D8AAAAAAADgPwAAAAAAAOA/AAAAAAAA4D8AAAAAAADgPwAAAAAAAOA/AAAAAAAA4D8AAAAAAADgPwAAAAAAAOA/AAAAAAAA4D8CAAAAjAAAAAEAAAAAAAAAcDCgAAAAAAAAAAAAAAAAAAAAAAAAAAAAAAAAAAAAAAAAAAAAZAAAAAEAAABAAAAAAAAAAAAAAAAAAAAAAAAAAAAAAAAAAAAAAAAAAAAAAAAAAAAAAAAAAAAAAAAAAAAAAAAAAAAAAAAAAAAAAAAAAAAAAAAAAAAAAAAAAAAAAAAAAAAAFAAAADwAAAABAAAAAAAAAAAA/w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sAAAAHoAAAAAAAAAAAAAAAAAAAAAAAAAAAAAAAAAAAAAAAAAAAAAD6JgAABQoAAAAAAAAAAAAAAA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336030" cy="1628775"/>
                        </a:xfrm>
                        <a:custGeom>
                          <a:avLst/>
                          <a:gdLst/>
                          <a:ahLst/>
                          <a:cxnLst/>
                          <a:rect l="0" t="0" r="6336030" b="1628775"/>
                          <a:pathLst>
                            <a:path w="6336030" h="1628775">
                              <a:moveTo>
                                <a:pt x="0" y="0"/>
                              </a:moveTo>
                              <a:lnTo>
                                <a:pt x="6336030" y="0"/>
                              </a:lnTo>
                              <a:moveTo>
                                <a:pt x="0" y="1628775"/>
                              </a:moveTo>
                              <a:lnTo>
                                <a:pt x="6336030" y="1628775"/>
                              </a:lnTo>
                            </a:path>
                          </a:pathLst>
                        </a:custGeom>
                        <a:solidFill>
                          <a:srgbClr val="7030A0"/>
                        </a:solidFill>
                        <a:ln w="12700">
                          <a:solidFill>
                            <a:srgbClr val="0000FF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object>
              <v:shape id="Picture 9" o:spid="_x0000_s1026" style="width:498.90pt;height:128.25pt;z-index:251658242;mso-wrap-distance-left:0.00pt;mso-wrap-distance-top:0.00pt;mso-wrap-distance-right:0.00pt;mso-wrap-distance-bottom:0.00pt;mso-wrap-style:square" coordsize="9978,2565" path="m0,0l9978,0m0,2565l9978,2565e" strokeweight="1.00pt" strokecolor="#0000ff" fillcolor="#7030a0" v:ext="SMDATA_14_Z2JNZxMAAAAlAAAACwAAAE0AAAAAkAAAAEgAAACQAAAASAAAAAAAAAAAAAAAAAAAAAEAAABQAAAAAAAAAAAA4D8AAAAAAADgPwAAAAAAAOA/AAAAAAAA4D8AAAAAAADgPwAAAAAAAOA/AAAAAAAA4D8AAAAAAADgPwAAAAAAAOA/AAAAAAAA4D8CAAAAjAAAAAEAAAAAAAAAcDCgAAAAAAAAAAAAAAAAAAAAAAAAAAAAAAAAAAAAAAAAAAAAZAAAAAEAAABAAAAAAAAAAAAAAAAAAAAAAAAAAAAAAAAAAAAAAAAAAAAAAAAAAAAAAAAAAAAAAAAAAAAAAAAAAAAAAAAAAAAAAAAAAAAAAAAAAAAAAAAAAAAAAAAAAAAAFAAAADwAAAABAAAAAAAAAAAA/w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sAAAAHoAAAAAAAAAAAAAAAAAAAAAAAAAAAAAAAAAAAAAAAAAAAAAD6JgAABQoAAAAAAAAAAAAAAAAAACgAAAAIAAAAAQAAAAEAAAA=">
                <v:path arrowok="t"/>
                <v:fill color2="#000000" type="solid" angle="90"/>
              </v:shape>
            </w:object>
          </mc:Fallback>
        </mc:AlternateContent>
      </w:r>
      <w:r/>
      <w:r>
        <w:rPr>
          <w:color w:val="9bbb59"/>
        </w:rPr>
      </w:r>
    </w:p>
    <w:p>
      <w:r/>
    </w:p>
    <w:p>
      <w:r/>
    </w:p>
    <w:p>
      <w:r/>
    </w:p>
    <w:p>
      <w:pPr>
        <w:spacing/>
        <w:jc w:val="center"/>
      </w:pPr>
      <w:r>
        <w:t>(В соответствии с Постановлением Правительства Российской Федерации от 19.09.2016 №941 Анжеро-Судженскому городскому округу присвоен статус Территории опережающего социально-экономического развития (ТОСЭР)</w:t>
      </w:r>
    </w:p>
    <w:p>
      <w:pPr>
        <w:ind w:right="5"/>
        <w:spacing/>
        <w:jc w:val="center"/>
        <w:rPr>
          <w:sz w:val="32"/>
        </w:rPr>
      </w:pPr>
      <w:r>
        <w:rPr>
          <w:sz w:val="32"/>
        </w:rPr>
      </w:r>
    </w:p>
    <w:p>
      <w:pPr>
        <w:ind w:right="5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</w:r>
    </w:p>
    <w:p>
      <w:pPr>
        <w:spacing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</w:r>
    </w:p>
    <w:p>
      <w:pPr>
        <w:ind w:left="1418" w:firstLine="709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Символика муниципального образования </w:t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«Анжеро-Судженский городской округ»</w:t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spacing/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48" behindDoc="0" locked="0" layoutInCell="0" hidden="0" allowOverlap="1">
            <wp:simplePos x="0" y="0"/>
            <wp:positionH relativeFrom="column">
              <wp:posOffset>872490</wp:posOffset>
            </wp:positionH>
            <wp:positionV relativeFrom="paragraph">
              <wp:posOffset>138430</wp:posOffset>
            </wp:positionV>
            <wp:extent cx="952500" cy="1511300"/>
            <wp:effectExtent l="0" t="0" r="0" b="0"/>
            <wp:wrapTight wrapText="bothSides">
              <wp:wrapPolygon edited="0">
                <wp:start x="-2592" y="436"/>
                <wp:lineTo x="-2592" y="21346"/>
                <wp:lineTo x="23976" y="21346"/>
                <wp:lineTo x="23976" y="436"/>
                <wp:lineTo x="-2592" y="436"/>
              </wp:wrapPolygon>
            </wp:wrapTight>
            <wp:docPr id="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1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WAAAAAKMAAAAAAAAAAAAAAAAAAAIAAABeBQAAAAAAAAIAAADaAAAA3AUAAEwJAAABAAAAlgkAAJ8KAAAoAAAACAAAAAEAAAABAAAA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49" behindDoc="0" locked="0" layoutInCell="0" hidden="0" allowOverlap="1">
            <wp:simplePos x="0" y="0"/>
            <wp:positionH relativeFrom="column">
              <wp:posOffset>3467100</wp:posOffset>
            </wp:positionH>
            <wp:positionV relativeFrom="paragraph">
              <wp:posOffset>53340</wp:posOffset>
            </wp:positionV>
            <wp:extent cx="1905000" cy="1282700"/>
            <wp:effectExtent l="0" t="0" r="0" b="0"/>
            <wp:wrapTight wrapText="bothSides">
              <wp:wrapPolygon edited="0">
                <wp:start x="-1296" y="438"/>
                <wp:lineTo x="-1296" y="21482"/>
                <wp:lineTo x="22788" y="21482"/>
                <wp:lineTo x="22788" y="438"/>
                <wp:lineTo x="-1296" y="438"/>
              </wp:wrapPolygon>
            </wp:wrapTight>
            <wp:docPr id="9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XAAAAAKMAAAAAAAAAAAAAAAAAAAIAAABUFQAAAAAAAAIAAABUAAAAuAsAAOQHAAABAAAAjBkAAEILAAAoAAAACAAAAAEAAAABAAAA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9"/>
        <w:rPr>
          <w:b/>
        </w:rPr>
      </w:pPr>
      <w:r>
        <w:rPr>
          <w:b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b/>
        </w:rPr>
        <w:t xml:space="preserve">    </w:t>
        <w:tab/>
        <w:tab/>
        <w:tab/>
        <w:tab/>
        <w:tab/>
        <w:tab/>
      </w:r>
      <w:r>
        <w:rPr>
          <w:rFonts w:ascii="Times New Roman" w:hAnsi="Times New Roman"/>
          <w:sz w:val="28"/>
        </w:rPr>
      </w:r>
    </w:p>
    <w:p>
      <w:pPr>
        <w:ind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2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4"/>
        </w:rPr>
        <w:t xml:space="preserve">              Герб городского округа</w:t>
      </w:r>
      <w:r>
        <w:rPr>
          <w:b/>
        </w:rPr>
        <w:t xml:space="preserve"> </w:t>
        <w:tab/>
        <w:tab/>
        <w:tab/>
        <w:tab/>
        <w:t>Ф</w:t>
      </w:r>
      <w:r>
        <w:rPr>
          <w:rFonts w:ascii="Times New Roman" w:hAnsi="Times New Roman"/>
          <w:b/>
          <w:sz w:val="24"/>
        </w:rPr>
        <w:t>лаг городского округа</w:t>
      </w:r>
      <w:r>
        <w:rPr>
          <w:rFonts w:ascii="Times New Roman" w:hAnsi="Times New Roman"/>
          <w:b/>
          <w:sz w:val="28"/>
        </w:rPr>
      </w:r>
    </w:p>
    <w:p>
      <w:pPr>
        <w:ind w:firstLine="720"/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ind w:firstLine="720"/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Общая информация о муниципальном образовании </w:t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«Анжеро-Судженский городской округ»</w:t>
      </w:r>
    </w:p>
    <w:p>
      <w:pPr>
        <w:ind w:firstLine="720"/>
        <w:rPr>
          <w:rFonts w:ascii="Times New Roman" w:hAnsi="Times New Roman"/>
          <w:b/>
          <w:sz w:val="28"/>
        </w:rPr>
      </w:pPr>
      <w:r>
        <w:rPr>
          <w:noProof/>
        </w:rPr>
        <w:drawing>
          <wp:anchor distT="0" distB="0" distL="114300" distR="114300" simplePos="0" relativeHeight="251658250" behindDoc="0" locked="0" layoutInCell="0" hidden="0" allowOverlap="1">
            <wp:simplePos x="0" y="0"/>
            <wp:positionH relativeFrom="column">
              <wp:posOffset>-531495</wp:posOffset>
            </wp:positionH>
            <wp:positionV relativeFrom="paragraph">
              <wp:posOffset>52705</wp:posOffset>
            </wp:positionV>
            <wp:extent cx="3266440" cy="4445000"/>
            <wp:effectExtent l="0" t="0" r="0" b="0"/>
            <wp:wrapSquare wrapText="bothSides"/>
            <wp:docPr id="10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5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kAAAAAKIAAAAAAAAAAAAAAAAAAAIAAAC7/P//AAAAAAIAAABTAAAAGBQAAFgbAAABAAAA8wAAAHsaAAAoAAAACAAAAAEAAAABAAAA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6440" cy="444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</w:rPr>
      </w:r>
    </w:p>
    <w:p>
      <w:pPr>
        <w:pStyle w:val="para60"/>
        <w:ind w:left="142" w:firstLine="0"/>
        <w:spacing w:before="280" w:after="280"/>
        <w:jc w:val="left"/>
        <w:rPr>
          <w:rFonts w:ascii="Times New Roman" w:hAnsi="Times New Roman"/>
          <w:b w:val="0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0" hidden="0" allowOverlap="1">
                <wp:simplePos x="0" y="0"/>
                <wp:positionH relativeFrom="column">
                  <wp:posOffset>-3237865</wp:posOffset>
                </wp:positionH>
                <wp:positionV relativeFrom="paragraph">
                  <wp:posOffset>64135</wp:posOffset>
                </wp:positionV>
                <wp:extent cx="2065020" cy="252730"/>
                <wp:effectExtent l="0" t="0" r="0" b="0"/>
                <wp:wrapNone/>
                <wp:docPr id="11" name="Pictur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">
                            <sm:smNativeData xmlns:sm="sm" val="SMDATA_14_Z2JNZ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CUAAAAAoAAAAAAAAAAAAAAAAAAAAgAAABXs//8AAAAAAgAAAGUAAAC0DAAAjgEAAAEAAABN8P//zxsAACgAAAAIAAAAAQAAAAMAAAA="/>
                          </a:ext>
                        </a:extLst>
                      </wps:cNvSpPr>
                      <wps:spPr>
                        <a:xfrm rot="20536800">
                          <a:off x="0" y="0"/>
                          <a:ext cx="2065020" cy="25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para58"/>
                            </w:pPr>
                            <w:r/>
                          </w:p>
                        </w:txbxContent>
                      </wps:txbx>
                      <wps:bodyPr spcFirstLastPara="1" vertOverflow="clip" horzOverflow="clip" lIns="91440" tIns="45720" rIns="91440" bIns="45720" upright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icture 16" o:spid="_x0000_s1027" style="position:absolute;margin-left:-254.95pt;margin-top:5.05pt;width:162.60pt;height:19.90pt;rotation:342.3;z-index:251658251;mso-wrap-distance-left:0.00pt;mso-wrap-distance-top:0.00pt;mso-wrap-distance-right:0.00pt;mso-wrap-distance-bottom:0.00pt;mso-wrap-style:square" stroked="f" filled="f" v:ext="SMDATA_14_Z2JNZ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CUAAAAAoAAAAAAAAAAAAAAAAAAAAgAAABXs//8AAAAAAgAAAGUAAAC0DAAAjgEAAAEAAABN8P//zxsAACgAAAAIAAAAAQAAAAMAAAA=" o:insetmode="custom">
                <w10:wrap type="none" anchorx="text" anchory="text"/>
                <v:textbox style="mso-fit-shape-to-text:t" inset="7.2pt,3.6pt,7.2pt,3.6pt">
                  <w:txbxContent>
                    <w:p>
                      <w:pPr>
                        <w:pStyle w:val="para58"/>
                      </w:pPr>
                      <w:r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 w:val="0"/>
          <w:sz w:val="28"/>
        </w:rPr>
        <w:t>1.  Точное наименование - Анжеро-Судженский городской округ</w:t>
      </w:r>
    </w:p>
    <w:p>
      <w:pPr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 Год образования - 1931</w:t>
      </w:r>
    </w:p>
    <w:p>
      <w:pPr>
        <w:pStyle w:val="para60"/>
        <w:ind w:left="142" w:firstLine="0"/>
        <w:spacing w:before="280" w:after="280"/>
        <w:jc w:val="left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3. Административное значение - город областного подчинения </w:t>
      </w:r>
    </w:p>
    <w:p>
      <w:pPr>
        <w:spacing/>
        <w:jc w:val="left"/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Дата утверждения современной черты муниципального образования - 01.03.2017 года</w:t>
      </w:r>
    </w:p>
    <w:p>
      <w:pPr>
        <w:spacing/>
        <w:jc w:val="left"/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 Площадь городского округа - 36642,10 га</w:t>
      </w:r>
    </w:p>
    <w:p>
      <w:pPr>
        <w:ind w:right="-230"/>
        <w:spacing/>
        <w:jc w:val="left"/>
        <w:widowControl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 xml:space="preserve">6. Население городского округа на 01.01.2024 года - 69,3 тыс. человек </w:t>
      </w:r>
      <w:r>
        <w:rPr>
          <w:rFonts w:ascii="Times New Roman" w:hAnsi="Times New Roman"/>
          <w:sz w:val="26"/>
        </w:rPr>
      </w:r>
    </w:p>
    <w:p>
      <w:pPr>
        <w:pStyle w:val="para60"/>
        <w:ind w:left="142" w:firstLine="0"/>
        <w:spacing w:before="280" w:after="280"/>
        <w:jc w:val="left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7. Среднегодовое число занятых в экономике – 23,9 тыс. человек</w:t>
      </w:r>
    </w:p>
    <w:p>
      <w:pPr>
        <w:pStyle w:val="para60"/>
        <w:ind w:left="142" w:firstLine="0"/>
        <w:spacing w:before="280" w:after="280"/>
        <w:jc w:val="left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8. Ближайшая железнодорожная станция - </w:t>
        <w:tab/>
        <w:tab/>
        <w:tab/>
        <w:tab/>
        <w:tab/>
        <w:tab/>
        <w:t>«Анжерская» Западно-Сибирской железной дороги</w:t>
      </w:r>
    </w:p>
    <w:p>
      <w:pPr>
        <w:pStyle w:val="para60"/>
        <w:ind w:left="4536" w:firstLine="0"/>
        <w:spacing w:before="280" w:after="280"/>
        <w:jc w:val="left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9. Ближайший аэропорт - «Имени Алексея    Леонова», г. Кемерово (расстояние 107 км)</w:t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/>
      <w:r>
        <w:rPr>
          <w:noProof/>
        </w:rPr>
        <w:drawing>
          <wp:inline distT="0" distB="0" distL="0" distR="0">
            <wp:extent cx="6333490" cy="4224020"/>
            <wp:effectExtent l="0" t="0" r="0" b="0"/>
            <wp:docPr id="3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E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vAAAAB6AAAAAAAAAAAAAAAAAAAAIAAAAAAAAAAAAAAAIAAAAAAAAA9iYAAPwZAAAAAAAAAAAAAAAAAAAoAAAACAAAAAEAAAABAAAA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33490" cy="42240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Уважаемые дамы и господа!</w:t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  <w:t>Искренне рад приветствовать вас на страницах информационного проекта «Инвестиционный паспорт муниципального образования «Анжеро-Судженский городской округ».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  <w:t>«Город-первопроходец», «город-рекордсмен», «город больших надежд» - таким был известен Анжеро-Судженск на протяжении прошлого века. Таким же - деятельным, целеустремлённым, набирающим силы для нового рывка - предстаёт он сегодня.</w:t>
        <w:tab/>
        <w:t xml:space="preserve">Анжеро-Судженск по-прежнему обладает огромным природным и человеческим потенциалом. У него отличная «география», уникальное богатство недр, серьезный задел энергоресурсов, а главное – богатейшие трудовые и культурные традиции. 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  <w:t>И этот потенциал будет раскрыт. На это нацеливают программы развития городского округа как территории опережающего развития и общий курс преобразований Кузбасса. Лозунг «Время быть первыми» в прямом его понимании с полным правом относится и к нам.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  <w:t>На новом этапе развития свою формулу успеха Анжеро-Судженск видит в деловом сотрудничестве бизнеса и власти. Мы делаем серьезную ставку на предприимчивых, целеустремленных, не боящихся работы и риска людей. Поле деятельности для них также обширно – от продукции растениеводства и выпуска современных строительных материалов до освоения высоких технологий. Было бы, как говорится, желание!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  <w:t xml:space="preserve">Предлагаемая вам редакция Инвестиционного паспорта отражает весь спектр актуализированной информации о городе и его возможностях, о наработанных инструментах поддержки бизнеса. Мы готовы предоставить «зеленую улицу» всем, кто хочет жить и работать на Анжерской земле! 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С уважением, глава Анжеро-Судженского городского округа Д.В. Ажичаков</w:t>
      </w:r>
    </w:p>
    <w:p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Преимущества инвестирования в муниципальное образование</w:t>
      </w:r>
    </w:p>
    <w:p>
      <w:pPr>
        <w:rPr>
          <w:rFonts w:ascii="Estrangelo Edessa" w:hAnsi="Estrangelo Edessa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                                    «Анжеро-Судженский городской округ»</w:t>
      </w:r>
      <w:r>
        <w:rPr>
          <w:rFonts w:ascii="Estrangelo Edessa" w:hAnsi="Estrangelo Edessa"/>
          <w:b/>
          <w:sz w:val="28"/>
        </w:rPr>
      </w:r>
    </w:p>
    <w:p>
      <w:pPr>
        <w:ind w:right="11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</w:t>
      </w:r>
      <w:r/>
      <w:r>
        <w:rPr>
          <w:noProof/>
        </w:rPr>
        <w:drawing>
          <wp:inline distT="0" distB="0" distL="0" distR="0">
            <wp:extent cx="5633720" cy="3756025"/>
            <wp:effectExtent l="0" t="0" r="0" b="0"/>
            <wp:docPr id="4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8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8AAAAB6AAAAAAAAAAAAAAAAAAAAAAAAAAAAAAAAAAAAAAAAAAAAAAqCIAABsXAAAAAAAAAAAAAAAAAAAoAAAACAAAAAEAAAABAAAA"/>
                        </a:ext>
                      </a:extLst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3756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rFonts w:ascii="Times New Roman" w:hAnsi="Times New Roman"/>
          <w:sz w:val="28"/>
        </w:rPr>
      </w:r>
    </w:p>
    <w:p>
      <w:pPr>
        <w:ind w:right="113" w:firstLine="709"/>
        <w:spacing w:after="120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</w:r>
    </w:p>
    <w:p>
      <w:pPr>
        <w:ind w:right="113" w:firstLine="709"/>
        <w:spacing w:after="120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Основными конкурентными преимуществами города, создающими предпосылки для успешного партнерства, являются:</w:t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headerReference w:type="default" r:id="rId14"/>
          <w:footerReference w:type="default" r:id="rId15"/>
          <w:type w:val="nextPage"/>
          <w:pgSz w:h="16838" w:w="11906"/>
          <w:pgMar w:left="1080" w:top="765" w:right="850" w:bottom="993" w:header="708" w:footer="708"/>
          <w:paperSrc w:first="0" w:other="0" a="0" b="0"/>
          <w:pgNumType w:fmt="decimal"/>
          <w:tmGutter w:val="3"/>
          <w:mirrorMargins w:val="0"/>
          <w:tmSection w:h="-1">
            <w:tmHeader w:id="0" w:h="0" edge="708" text="0">
              <w:shd w:val="none"/>
            </w:tmHeader>
            <w:tmFooter w:id="0" w:h="0" edge="708" text="0">
              <w:shd w:val="none"/>
            </w:tmFooter>
          </w:tmSection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numPr>
          <w:ilvl w:val="0"/>
          <w:numId w:val="1"/>
        </w:numPr>
        <w:ind w:left="0" w:firstLine="0"/>
        <w:widowControl/>
        <w:tabs defTabSz="709">
          <w:tab w:val="left" w:pos="0" w:leader="none"/>
        </w:tabs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Статус Территории Опережающего Социально-Экономического Развития (ТОСЭР)</w:t>
      </w:r>
      <w:r>
        <w:rPr>
          <w:rFonts w:ascii="Times New Roman" w:hAnsi="Times New Roman"/>
          <w:sz w:val="22"/>
        </w:rPr>
        <w:t xml:space="preserve"> (Постановление Правительства РФ </w:t>
      </w:r>
      <w:r>
        <w:rPr>
          <w:rFonts w:ascii="Times New Roman" w:hAnsi="Times New Roman"/>
          <w:b/>
          <w:sz w:val="22"/>
        </w:rPr>
        <w:t>№ 941</w:t>
      </w:r>
      <w:r>
        <w:rPr>
          <w:rFonts w:ascii="Times New Roman" w:hAnsi="Times New Roman"/>
          <w:sz w:val="22"/>
        </w:rPr>
        <w:t>), предусматривающий льготное налогообложение резидентов.</w:t>
      </w:r>
    </w:p>
    <w:p>
      <w:pPr>
        <w:numPr>
          <w:ilvl w:val="0"/>
          <w:numId w:val="1"/>
        </w:numPr>
        <w:ind w:left="0" w:firstLine="0"/>
        <w:widowControl/>
        <w:tabs defTabSz="709">
          <w:tab w:val="left" w:pos="0" w:leader="none"/>
        </w:tabs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Выгодное экономико-географическое расположение</w:t>
      </w:r>
      <w:r>
        <w:rPr>
          <w:rFonts w:ascii="Times New Roman" w:hAnsi="Times New Roman"/>
          <w:sz w:val="22"/>
        </w:rPr>
        <w:t xml:space="preserve">, </w:t>
      </w:r>
      <w:r>
        <w:rPr>
          <w:rFonts w:ascii="Times New Roman" w:hAnsi="Times New Roman"/>
          <w:b/>
          <w:sz w:val="22"/>
        </w:rPr>
        <w:t>обусловленное:</w:t>
      </w: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>- равной удалённостью от Новосибирской, Томской областей, Алтайского, Красноярского краев;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>- наличием   магистральной железной дороги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(Западно-Сибирская железная дорога), сети автомобильных дорог; 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энергомощностей (Ново-Анжерская подстанция 500кВ); 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  - прохождением нефтепровода Александровск – Анжеро-Судженск – Омск и Александровск – Анжеро-Судженск – Иркутск; 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- близостью нитки газопровода, которая позволяет газифицировать город в период 2025-2030 гг. 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3.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Наличие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запасов полезных ископаемых, разнообразных природных ресурсов</w:t>
      </w:r>
      <w:r>
        <w:rPr>
          <w:rFonts w:ascii="Times New Roman" w:hAnsi="Times New Roman"/>
          <w:sz w:val="22"/>
        </w:rPr>
        <w:t>: месторождений каменного угля, глиноземов, кварцитов, песков, железной, титановой, марганцевой руд, подземных водохранилищ, лесных и земельных ресурсов.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4. Наличие резервов мощностей на перерабатывающих производствах:</w:t>
      </w:r>
      <w:r>
        <w:rPr>
          <w:rFonts w:ascii="Times New Roman" w:hAnsi="Times New Roman"/>
          <w:sz w:val="22"/>
        </w:rPr>
        <w:t xml:space="preserve"> машиностроительной, углеобогатительной, нефтеперерабатывающей, фармацевтической, деревообрабатывающей и пищевой отраслей;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5. Наличие 16 свободных производственных площадок</w:t>
      </w:r>
      <w:r>
        <w:rPr>
          <w:rFonts w:ascii="Times New Roman" w:hAnsi="Times New Roman"/>
          <w:sz w:val="22"/>
        </w:rPr>
        <w:t xml:space="preserve"> ликвидированных предприятий, частично обеспеченных инфраструктурой.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6</w:t>
      </w:r>
      <w:r>
        <w:rPr>
          <w:rFonts w:ascii="Times New Roman" w:hAnsi="Times New Roman"/>
          <w:sz w:val="22"/>
        </w:rPr>
        <w:t xml:space="preserve">. </w:t>
      </w:r>
      <w:r>
        <w:rPr>
          <w:rFonts w:ascii="Times New Roman" w:hAnsi="Times New Roman"/>
          <w:b/>
          <w:sz w:val="22"/>
        </w:rPr>
        <w:t>Развитая система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поддержки МСП</w:t>
      </w:r>
      <w:r>
        <w:rPr>
          <w:rFonts w:ascii="Times New Roman" w:hAnsi="Times New Roman"/>
          <w:sz w:val="22"/>
        </w:rPr>
        <w:t>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7. Заинтересованность администрации</w:t>
      </w:r>
      <w:r>
        <w:rPr>
          <w:rFonts w:ascii="Times New Roman" w:hAnsi="Times New Roman"/>
          <w:sz w:val="22"/>
        </w:rPr>
        <w:t xml:space="preserve"> в улучшении инвестиционного климата.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8. Развитая система профессионального образования (</w:t>
      </w:r>
      <w:r>
        <w:rPr>
          <w:rFonts w:ascii="Times New Roman" w:hAnsi="Times New Roman"/>
          <w:sz w:val="22"/>
        </w:rPr>
        <w:t>4 средних-специальных учебных заведения).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9.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Наличие рекреационных услуг:</w:t>
      </w: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 санатория, стадиона, плавательного бассейна, лыжных и туристических баз, зон отдыха.  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10.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Высокий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информационный потенциал</w:t>
      </w:r>
      <w:r>
        <w:rPr>
          <w:rFonts w:ascii="Times New Roman" w:hAnsi="Times New Roman"/>
          <w:sz w:val="22"/>
        </w:rPr>
        <w:t xml:space="preserve"> (Интернет, радио, телевидение, газета, мобильная связь).</w:t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11.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Опыт разработки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программ социально-экономического развития.</w:t>
      </w: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12.</w:t>
      </w:r>
      <w:r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b/>
          <w:sz w:val="22"/>
        </w:rPr>
        <w:t>Наличие активных общественных организаций и сообществ.</w:t>
      </w:r>
      <w:r>
        <w:rPr>
          <w:rFonts w:ascii="Times New Roman" w:hAnsi="Times New Roman"/>
          <w:b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widowControl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headerReference w:type="default" r:id="rId16"/>
          <w:footerReference w:type="default" r:id="rId17"/>
          <w:type w:val="nextPage"/>
          <w:pgSz w:h="16838" w:w="11906"/>
          <w:pgMar w:left="1080" w:top="765" w:right="850" w:bottom="993" w:header="708" w:footer="708"/>
          <w:paperSrc w:first="0" w:other="0" a="0" b="0"/>
          <w:pgNumType w:fmt="decimal"/>
          <w:tmGutter w:val="3"/>
          <w:mirrorMargins w:val="0"/>
          <w:tmSection w:h="-1">
            <w:tmHeader w:id="0" w:h="0" edge="708" text="0">
              <w:shd w:val="none"/>
            </w:tmHeader>
            <w:tmFooter w:id="0" w:h="0" edge="708" text="0">
              <w:shd w:val="none"/>
            </w:tmFooter>
          </w:tmSection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/>
        <w:jc w:val="left"/>
        <w:rPr>
          <w:color w:val="4f6228"/>
          <w:sz w:val="40"/>
        </w:rPr>
      </w:pPr>
      <w:r>
        <w:rPr>
          <w:color w:val="4f6228"/>
          <w:sz w:val="40"/>
        </w:rPr>
        <w:t>Социально-экономическая ситуация</w:t>
      </w:r>
    </w:p>
    <w:tbl>
      <w:tblPr>
        <w:tblStyle w:val="NormalTable"/>
        <w:name w:val="Таблица1"/>
        <w:tabOrder w:val="0"/>
        <w:jc w:val="left"/>
        <w:tblInd w:w="0" w:type="dxa"/>
        <w:tblW w:w="10375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4884"/>
        <w:gridCol w:w="2433"/>
        <w:gridCol w:w="3058"/>
      </w:tblGrid>
      <w:tr>
        <w:trPr>
          <w:tblHeader w:val="0"/>
          <w:cantSplit w:val="0"/>
          <w:trHeight w:val="581" w:hRule="atLeast"/>
        </w:trPr>
        <w:tc>
          <w:tcPr>
            <w:tcW w:w="4884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ПОКАЗАТЕЛИ</w:t>
            </w:r>
          </w:p>
        </w:tc>
        <w:tc>
          <w:tcPr>
            <w:tcW w:w="2433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ЕДИНИЦА ИЗМЕРЕНИЯ</w:t>
            </w:r>
          </w:p>
        </w:tc>
        <w:tc>
          <w:tcPr>
            <w:tcW w:w="3058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СОСТОЯНИЮ НА 01.01.2024г.</w:t>
            </w:r>
          </w:p>
        </w:tc>
      </w:tr>
      <w:tr>
        <w:trPr>
          <w:tblHeader w:val="0"/>
          <w:cantSplit w:val="0"/>
          <w:trHeight w:val="317" w:hRule="atLeast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i/>
                <w:sz w:val="28"/>
              </w:rPr>
            </w:pPr>
            <w:r>
              <w:rPr>
                <w:rFonts w:ascii="Times New Roman" w:hAnsi="Times New Roman"/>
                <w:b/>
                <w:sz w:val="24"/>
              </w:rPr>
              <w:t>Географическое положение</w:t>
            </w:r>
            <w:r>
              <w:rPr>
                <w:rFonts w:ascii="Times New Roman" w:hAnsi="Times New Roman"/>
                <w:b/>
                <w:i/>
                <w:sz w:val="2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Географические координаты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56°05'с.ш. 86°02'в.д.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Отклонение от московского времени, часы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часы</w:t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+4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375" w:type="dxa"/>
            <w:gridSpan w:val="3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Транспортное сообщение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Наличие аэропорта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 / Нет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Ближайший аэропорт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город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Кемерово, Томск Новокузнецк, Новосибирск 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Наличие железнодорожной станции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 / Нет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Наличие автовокзала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 / Нет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Территориальные ресурсы города</w:t>
            </w:r>
            <w:r>
              <w:rPr>
                <w:rFonts w:ascii="Times New Roman" w:hAnsi="Times New Roman"/>
                <w:b/>
                <w:i/>
                <w:sz w:val="24"/>
              </w:rPr>
            </w:r>
          </w:p>
        </w:tc>
      </w:tr>
      <w:tr>
        <w:trPr>
          <w:tblHeader w:val="0"/>
          <w:cantSplit w:val="0"/>
          <w:trHeight w:val="352" w:hRule="atLeast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Протяженность города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км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 севера на юг - 15 км, с запада на восток - 7 км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 xml:space="preserve">Территория городского округа 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  <w:vertAlign w:val="superscript"/>
              </w:rPr>
            </w:pPr>
            <w:r>
              <w:rPr>
                <w:rFonts w:ascii="Times New Roman" w:hAnsi="Times New Roman"/>
                <w:sz w:val="24"/>
              </w:rPr>
              <w:t>га</w:t>
            </w:r>
            <w:r>
              <w:rPr>
                <w:rFonts w:ascii="Times New Roman" w:hAnsi="Times New Roman"/>
                <w:i/>
                <w:sz w:val="24"/>
                <w:vertAlign w:val="superscript"/>
              </w:rPr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36642,10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Административно-территориальное  деление городского округа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Анжеро-Судженский городской округ, в том числе: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Анжеро-Судженск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ед.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Пгт  Рудничный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ед.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Сельские населенные пункты, в том числе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п. Козлы, с. Лебедянка, п. Терентьевка, 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п. 326 квартала, п. 348 квартала, п. 3-й склад, п. Красная горка</w:t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ед.</w:t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375" w:type="dxa"/>
            <w:gridSpan w:val="3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Транспорт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Эксплуатационная длина (протяженность) путей автобусных маршрутов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км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198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Число автобусных маршрутов</w:t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ед.</w:t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375" w:type="dxa"/>
            <w:gridSpan w:val="3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ind w:right="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blHeader w:val="0"/>
          <w:cantSplit w:val="0"/>
          <w:trHeight w:val="411" w:hRule="atLeast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Демографические показатели</w:t>
            </w:r>
            <w:r>
              <w:rPr>
                <w:rFonts w:ascii="Times New Roman" w:hAnsi="Times New Roman"/>
                <w:b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Среднегодовая численность постоянного населения (оценочно)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i/>
                <w:sz w:val="24"/>
              </w:rPr>
              <w:t>69,3</w:t>
            </w:r>
          </w:p>
        </w:tc>
      </w:tr>
      <w:tr>
        <w:trPr>
          <w:tblHeader w:val="0"/>
          <w:cantSplit w:val="0"/>
          <w:trHeight w:val="411" w:hRule="atLeast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Возрастная структура населения</w:t>
            </w:r>
            <w:r>
              <w:rPr>
                <w:rFonts w:ascii="Times New Roman" w:hAnsi="Times New Roman"/>
                <w:b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Моложе трудоспособного возраста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чел. / %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13,5 /19,1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sz w:val="24"/>
              </w:rPr>
              <w:t>Численность трудоспособного населения</w:t>
            </w:r>
            <w:r>
              <w:rPr>
                <w:rFonts w:ascii="Times New Roman" w:hAnsi="Times New Roman"/>
                <w:i/>
                <w:sz w:val="28"/>
              </w:rPr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чел. / %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38,6 / 54</w:t>
            </w:r>
            <w:r>
              <w:rPr>
                <w:rFonts w:ascii="Times New Roman" w:hAnsi="Times New Roman"/>
                <w:i/>
                <w:sz w:val="24"/>
              </w:rPr>
              <w:t>,7</w:t>
            </w:r>
            <w:r>
              <w:rPr>
                <w:rFonts w:ascii="Times New Roman" w:hAnsi="Times New Roman"/>
                <w:i/>
                <w:sz w:val="24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Население старше трудоспособного возраста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чел. / %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18,5 /26,2</w:t>
            </w:r>
          </w:p>
        </w:tc>
      </w:tr>
      <w:tr>
        <w:trPr>
          <w:tblHeader w:val="0"/>
          <w:cantSplit w:val="0"/>
          <w:trHeight w:val="359" w:hRule="atLeast"/>
        </w:trPr>
        <w:tc>
          <w:tcPr>
            <w:tcW w:w="10375" w:type="dxa"/>
            <w:gridSpan w:val="3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Рынок труда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Численность трудовых ресурсов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чел.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38,4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Среднегодовая численность занятых в экономике</w:t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чел.</w:t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23,9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884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Число зарегистрированных безработных на конец года</w:t>
            </w:r>
          </w:p>
        </w:tc>
        <w:tc>
          <w:tcPr>
            <w:tcW w:w="243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чел.</w:t>
            </w:r>
          </w:p>
        </w:tc>
        <w:tc>
          <w:tcPr>
            <w:tcW w:w="305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223</w:t>
            </w:r>
          </w:p>
        </w:tc>
      </w:tr>
      <w:tr>
        <w:trPr>
          <w:tblHeader w:val="0"/>
          <w:cantSplit w:val="0"/>
          <w:trHeight w:val="341" w:hRule="atLeast"/>
        </w:trPr>
        <w:tc>
          <w:tcPr>
            <w:tcW w:w="4884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left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Среднемесячная заработная плата работающих по муниципальному образованию</w:t>
            </w:r>
          </w:p>
        </w:tc>
        <w:tc>
          <w:tcPr>
            <w:tcW w:w="2433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руб.</w:t>
            </w:r>
          </w:p>
        </w:tc>
        <w:tc>
          <w:tcPr>
            <w:tcW w:w="3058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B3CC82" tmln="20, 20, 20, 0, 0"/>
              <w:bottom w:val="single" w:sz="8" w:space="0" w:color="B3CC82" tmln="20, 20, 20, 0, 0"/>
              <w:right w:val="single" w:sz="8" w:space="0" w:color="B3CC82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54176</w:t>
            </w:r>
          </w:p>
        </w:tc>
      </w:tr>
    </w:tbl>
    <w:p>
      <w:pPr>
        <w:spacing w:line="360" w:lineRule="auto"/>
        <w:rPr>
          <w:color w:val="4f6228"/>
          <w:sz w:val="40"/>
        </w:rPr>
      </w:pPr>
      <w:r>
        <w:rPr>
          <w:color w:val="4f6228"/>
          <w:sz w:val="40"/>
        </w:rPr>
      </w:r>
    </w:p>
    <w:p>
      <w:pPr>
        <w:spacing w:line="360" w:lineRule="auto"/>
        <w:rPr>
          <w:color w:val="4f6228"/>
          <w:sz w:val="40"/>
        </w:rPr>
      </w:pPr>
      <w:r>
        <w:rPr>
          <w:color w:val="4f6228"/>
          <w:sz w:val="40"/>
        </w:rPr>
        <w:t>Промышленность</w:t>
      </w:r>
    </w:p>
    <w:p>
      <w:pPr>
        <w:ind w:firstLine="709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52" behindDoc="1" locked="0" layoutInCell="0" hidden="0" allowOverlap="1">
            <wp:simplePos x="0" y="0"/>
            <wp:positionH relativeFrom="column">
              <wp:posOffset>4400550</wp:posOffset>
            </wp:positionH>
            <wp:positionV relativeFrom="page">
              <wp:posOffset>7829550</wp:posOffset>
            </wp:positionV>
            <wp:extent cx="2047875" cy="1800225"/>
            <wp:effectExtent l="0" t="0" r="0" b="0"/>
            <wp:wrapNone/>
            <wp:docPr id="12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4"/>
                    <pic:cNvPicPr>
                      <a:extLst>
                        <a:ext uri="sm">
                          <sm:smNativeData xmlns:sm="sm" val="SMDATA_16_Z2JNZ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DQB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CAAAAAAAAAAAAAAAAAAAAIAAAASGwAAAAAAAAAAAAAqMAAAmQwAABMLAAAFAAEASh8AACowAAAoAAAACAAAAAEAAAABAAAA"/>
                        </a:ext>
                      </a:extLst>
                    </pic:cNvPicPr>
                  </pic:nvPicPr>
                  <pic:blipFill>
                    <a:blip r:embed="rId18"/>
                    <a:srcRect r="12320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>На сегодняшний день на территории городского округа осуществляют свою деятельность 256 организаций, 1175 индивидуальных предпринимателей.</w:t>
      </w:r>
    </w:p>
    <w:tbl>
      <w:tblPr>
        <w:tblStyle w:val="NormalTable"/>
        <w:name w:val="Таблица2"/>
        <w:tabOrder w:val="0"/>
        <w:jc w:val="left"/>
        <w:tblInd w:w="0" w:type="dxa"/>
        <w:tblW w:w="10632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4786"/>
        <w:gridCol w:w="4297"/>
        <w:gridCol w:w="1549"/>
      </w:tblGrid>
      <w:tr>
        <w:trPr>
          <w:tblHeader w:val="0"/>
          <w:cantSplit w:val="0"/>
          <w:trHeight w:val="247" w:hRule="atLeast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ffffff"/>
                <w:sz w:val="26"/>
              </w:rPr>
            </w:pPr>
            <w:r>
              <w:rPr>
                <w:rFonts w:ascii="Times New Roman" w:hAnsi="Times New Roman"/>
                <w:color w:val="ffffff"/>
                <w:sz w:val="26"/>
              </w:rPr>
              <w:t>Отрасль</w:t>
            </w:r>
          </w:p>
        </w:tc>
        <w:tc>
          <w:tcPr>
            <w:tcW w:w="5846" w:type="dxa"/>
            <w:gridSpan w:val="2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ffffff"/>
                <w:sz w:val="26"/>
              </w:rPr>
            </w:pPr>
            <w:r>
              <w:rPr>
                <w:rFonts w:ascii="Times New Roman" w:hAnsi="Times New Roman"/>
                <w:color w:val="ffffff"/>
                <w:sz w:val="26"/>
              </w:rPr>
              <w:t>Предприятие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Переработка и обогащение угля</w:t>
            </w:r>
          </w:p>
        </w:tc>
        <w:tc>
          <w:tcPr>
            <w:tcW w:w="5846" w:type="dxa"/>
            <w:gridSpan w:val="2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ООО «ГОФ «Анжерская»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Добыча полезных ископаемых, кроме топливно-энергетических </w:t>
            </w:r>
          </w:p>
        </w:tc>
        <w:tc>
          <w:tcPr>
            <w:tcW w:w="5846" w:type="dxa"/>
            <w:gridSpan w:val="2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 «Антоновское рудоуправление» - филиал</w:t>
            </w:r>
          </w:p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АО «Кузнецкие ферросплавы»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Производство пищевых продуктов</w:t>
            </w:r>
          </w:p>
        </w:tc>
        <w:tc>
          <w:tcPr>
            <w:tcW w:w="5846" w:type="dxa"/>
            <w:gridSpan w:val="2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ООО «Сибмол», ООО «Анжеро-Судженский мелькомбинат», ООО «Анжерские колбасы», ООО «Молочный край»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Производство машин и оборудования</w:t>
            </w:r>
          </w:p>
        </w:tc>
        <w:tc>
          <w:tcPr>
            <w:tcW w:w="5846" w:type="dxa"/>
            <w:gridSpan w:val="2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ОАО «Анжеромаш», ООО «Анжеро-шахтсервис»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Нефтепереработка</w:t>
            </w:r>
          </w:p>
        </w:tc>
        <w:tc>
          <w:tcPr>
            <w:tcW w:w="5846" w:type="dxa"/>
            <w:gridSpan w:val="2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«ЯНПЗ» - филиал АО «НефтеХимСервис» 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Химико-фармацевтическое производство</w:t>
            </w:r>
          </w:p>
        </w:tc>
        <w:tc>
          <w:tcPr>
            <w:tcW w:w="5846" w:type="dxa"/>
            <w:gridSpan w:val="2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ООО «Авексима Сибирь» 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Лесопереработка</w:t>
            </w:r>
          </w:p>
        </w:tc>
        <w:tc>
          <w:tcPr>
            <w:tcW w:w="5846" w:type="dxa"/>
            <w:gridSpan w:val="2"/>
            <w:shd w:val="solid" w:color="D0CECE" tmshd="1677721856, 0, 13553360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ООО «ЛПК», ООО «АверсЛесИнвест», ООО «Сибирский лес», ООО «Лесмастер»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Обеспечение электрической энергией, газом и паром кондиционирование воздуха</w:t>
            </w:r>
          </w:p>
        </w:tc>
        <w:tc>
          <w:tcPr>
            <w:tcW w:w="5846" w:type="dxa"/>
            <w:gridSpan w:val="2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АО «Каскад-Энерго», ПАО «Кузбассэнергосбыт», ООО Теплоресурс»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Водоснабжение, водоотведение, организация сбора и утилизации отходов</w:t>
            </w:r>
          </w:p>
        </w:tc>
        <w:tc>
          <w:tcPr>
            <w:tcW w:w="5846" w:type="dxa"/>
            <w:gridSpan w:val="2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ООО «Чистая вода», МП «Комсах»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10632" w:type="dxa"/>
            <w:gridSpan w:val="3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ffffff"/>
                <w:sz w:val="26"/>
              </w:rPr>
            </w:pPr>
            <w:r>
              <w:rPr>
                <w:rFonts w:ascii="Times New Roman" w:hAnsi="Times New Roman"/>
                <w:color w:val="ffffff"/>
                <w:sz w:val="26"/>
              </w:rPr>
              <w:t>Объем отгруженных товаров собственного производства, выполненных работ и услуг собственными силами по чистым видам экономической деятельности за 2023 год:</w:t>
            </w:r>
          </w:p>
        </w:tc>
      </w:tr>
      <w:tr>
        <w:trPr>
          <w:tblHeader w:val="0"/>
          <w:cantSplit w:val="0"/>
          <w:trHeight w:val="418" w:hRule="atLeast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Обрабатывающие производства</w:t>
            </w:r>
          </w:p>
        </w:tc>
        <w:tc>
          <w:tcPr>
            <w:tcW w:w="429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млн  руб.</w:t>
            </w:r>
          </w:p>
        </w:tc>
        <w:tc>
          <w:tcPr>
            <w:tcW w:w="154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116969.9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Обеспечение электроэнергией, газом и паром</w:t>
            </w:r>
          </w:p>
        </w:tc>
        <w:tc>
          <w:tcPr>
            <w:tcW w:w="429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млн  руб.</w:t>
            </w:r>
          </w:p>
        </w:tc>
        <w:tc>
          <w:tcPr>
            <w:tcW w:w="154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1561.7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Водоснабжение, водоотведение, организация сбора и утилизация отходов</w:t>
            </w:r>
          </w:p>
        </w:tc>
        <w:tc>
          <w:tcPr>
            <w:tcW w:w="429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млн  руб.</w:t>
            </w:r>
          </w:p>
        </w:tc>
        <w:tc>
          <w:tcPr>
            <w:tcW w:w="154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371.2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Итого по крупным и средним предприятиям:</w:t>
            </w:r>
          </w:p>
        </w:tc>
        <w:tc>
          <w:tcPr>
            <w:tcW w:w="429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млн  руб.</w:t>
            </w:r>
          </w:p>
        </w:tc>
        <w:tc>
          <w:tcPr>
            <w:tcW w:w="154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118902.8</w:t>
            </w:r>
          </w:p>
        </w:tc>
      </w:tr>
      <w:tr>
        <w:trPr>
          <w:tblHeader w:val="0"/>
          <w:cantSplit w:val="0"/>
          <w:trHeight w:val="87" w:hRule="atLeast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Индекс физического объёма к 2022 году</w:t>
            </w:r>
          </w:p>
        </w:tc>
        <w:tc>
          <w:tcPr>
            <w:tcW w:w="4297" w:type="dxa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%</w:t>
            </w:r>
          </w:p>
        </w:tc>
        <w:tc>
          <w:tcPr>
            <w:tcW w:w="1549" w:type="dxa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95,1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478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Индекс производства к 2022 году</w:t>
            </w:r>
          </w:p>
        </w:tc>
        <w:tc>
          <w:tcPr>
            <w:tcW w:w="4297" w:type="dxa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%</w:t>
            </w:r>
          </w:p>
        </w:tc>
        <w:tc>
          <w:tcPr>
            <w:tcW w:w="1549" w:type="dxa"/>
            <w:shd w:val="solid" w:color="D8D8D8" tmshd="1677721856, 0, 1421128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  <w:bottom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94,7</w:t>
            </w:r>
          </w:p>
        </w:tc>
      </w:tr>
    </w:tbl>
    <w:p>
      <w:pPr>
        <w:spacing/>
        <w:jc w:val="left"/>
        <w:rPr>
          <w:rFonts w:ascii="Times New Roman" w:hAnsi="Times New Roman"/>
          <w:b/>
          <w:color w:val="984806"/>
          <w:sz w:val="24"/>
        </w:rPr>
      </w:pPr>
      <w:r/>
      <w:r>
        <w:rPr>
          <w:noProof/>
        </w:rPr>
        <w:drawing>
          <wp:inline distT="0" distB="0" distL="0" distR="0">
            <wp:extent cx="2220595" cy="1562100"/>
            <wp:effectExtent l="0" t="0" r="0" b="0"/>
            <wp:docPr id="5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0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5AAAAB6AAAAAAAAAAAAAAAAAAAAAAAAAAAAAAAAAAAAAAAAAAAAAAqQ0AAJwJAAAAAAAAAAAAAAAAAAAoAAAACAAAAAEAAAABAAAA"/>
                        </a:ext>
                      </a:extLst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rFonts w:ascii="Times New Roman" w:hAnsi="Times New Roman"/>
          <w:b/>
          <w:color w:val="984806"/>
          <w:sz w:val="24"/>
        </w:rPr>
        <w:t xml:space="preserve"> </w:t>
      </w:r>
      <w:r/>
      <w:r>
        <w:rPr>
          <w:noProof/>
        </w:rPr>
        <w:drawing>
          <wp:inline distT="0" distB="0" distL="0" distR="0">
            <wp:extent cx="2115820" cy="1564640"/>
            <wp:effectExtent l="0" t="0" r="0" b="0"/>
            <wp:docPr id="6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2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5AAAAB6AAAAAAAAAAAAAAAAAAAAAAAAAAAAAAAAAAAAAAAAAAAAAABA0AAKAJAAAAAAAAAAAAAAAAAAAoAAAACAAAAAEAAAABAAAA"/>
                        </a:ext>
                      </a:extLst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rFonts w:ascii="Times New Roman" w:hAnsi="Times New Roman"/>
          <w:b/>
          <w:color w:val="984806"/>
          <w:sz w:val="24"/>
        </w:rPr>
        <w:t xml:space="preserve"> </w:t>
      </w:r>
      <w:r>
        <w:rPr>
          <w:rFonts w:ascii="Times New Roman" w:hAnsi="Times New Roman"/>
          <w:b/>
          <w:color w:val="984806"/>
          <w:sz w:val="24"/>
        </w:rPr>
      </w:r>
    </w:p>
    <w:p>
      <w:pPr>
        <w:rPr>
          <w:color w:val="4f6228"/>
          <w:sz w:val="40"/>
        </w:rPr>
      </w:pPr>
      <w:r>
        <w:rPr>
          <w:color w:val="4f6228"/>
          <w:sz w:val="40"/>
        </w:rPr>
      </w:r>
    </w:p>
    <w:p>
      <w:pPr>
        <w:rPr>
          <w:color w:val="4f6228"/>
          <w:sz w:val="40"/>
        </w:rPr>
      </w:pPr>
      <w:r>
        <w:rPr>
          <w:color w:val="4f6228"/>
          <w:sz w:val="40"/>
        </w:rPr>
      </w:r>
    </w:p>
    <w:p>
      <w:pPr>
        <w:rPr>
          <w:color w:val="4f6228"/>
          <w:sz w:val="40"/>
        </w:rPr>
      </w:pPr>
      <w:r>
        <w:rPr>
          <w:color w:val="4f6228"/>
          <w:sz w:val="40"/>
        </w:rPr>
        <w:t>Ресурсы</w:t>
      </w:r>
    </w:p>
    <w:p>
      <w:pPr>
        <w:ind w:firstLine="567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53" behindDoc="0" locked="0" layoutInCell="0" hidden="0" allowOverlap="1">
            <wp:simplePos x="0" y="0"/>
            <wp:positionH relativeFrom="column">
              <wp:posOffset>5715</wp:posOffset>
            </wp:positionH>
            <wp:positionV relativeFrom="paragraph">
              <wp:posOffset>3810</wp:posOffset>
            </wp:positionV>
            <wp:extent cx="6487160" cy="4051300"/>
            <wp:effectExtent l="0" t="0" r="0" b="0"/>
            <wp:wrapSquare wrapText="bothSides"/>
            <wp:docPr id="13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6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+AAAAAKIAAAAAAAAAAAAAAQAAAAIAAAAJAAAAAQAAAAIAAAAGAAAA6CcAAOwYAAAHAAEAQQQAAJYEAAAoAAAACAAAAAEAAAABAAAA"/>
                        </a:ext>
                      </a:extLst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7160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Проведённый анализ позволяет выделить ряд конкурентных преимуществ Анжеро-Судженского городского округа, создающих условия для его социально-экономического развития: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- относительно выгодное географическое расположение на пересечении важнейших коммуникаций: магистральной железной дороги, наличие подстанции 500 КВт, нефтепровода, сети автомобильных дорог, близость газопровода Проскоково-Ачинск-Красноярск, равноудаленность от Новосибирской, Томской областей, Красноярского края;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-  близкое расположение запасов полезных ископаемых и природных ресурсов: месторождений угля, глиноземов, кварцитов, песков, железной, титановой, марганцевых руд, подземных водохранилищ, лесных и земельных ресурсов;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- наличие свободных производственных площадок с различным уровнем обеспечения коммуникациями;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-промышленный потенциал, представленный предприятиями нефтепереработки, машиностроения, угледобычи и углепереработки, переработки сельхозсырья, фармацевтической промышленности;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>-  наличие современных средств связи и телекоммуникаций;</w:t>
      </w:r>
    </w:p>
    <w:p>
      <w:pPr>
        <w:ind w:firstLine="851"/>
        <w:rPr>
          <w:rFonts w:ascii="Times New Roman" w:hAnsi="Times New Roman"/>
          <w:spacing w:val="-3" w:percent="98"/>
          <w:sz w:val="28"/>
        </w:rPr>
      </w:pPr>
      <w:r>
        <w:rPr>
          <w:rFonts w:ascii="Times New Roman" w:hAnsi="Times New Roman"/>
          <w:spacing w:val="-3" w:percent="98"/>
          <w:sz w:val="28"/>
        </w:rPr>
        <w:t xml:space="preserve">-  хороший кадровый потенциал по многим отраслям экономики, значительный образовательный комплекс. </w:t>
      </w:r>
    </w:p>
    <w:p>
      <w:pPr>
        <w:rPr>
          <w:color w:val="4f6228"/>
          <w:sz w:val="40"/>
        </w:rPr>
      </w:pPr>
      <w:r>
        <w:rPr>
          <w:color w:val="4f6228"/>
          <w:sz w:val="40"/>
        </w:rPr>
        <w:t xml:space="preserve">Инвестиции </w:t>
      </w:r>
    </w:p>
    <w:p>
      <w:pPr>
        <w:ind w:firstLine="709"/>
        <w:pBdr>
          <w:top w:val="nil" w:sz="0" w:space="3" w:color="000000" tmln="20, 20, 20, 0, 60"/>
          <w:left w:val="nil" w:sz="0" w:space="3" w:color="000000" tmln="20, 20, 20, 0, 60"/>
          <w:bottom w:val="nil" w:sz="0" w:space="3" w:color="000000" tmln="20, 20, 20, 0, 60"/>
          <w:right w:val="nil" w:sz="0" w:space="3" w:color="000000" tmln="20, 20, 20, 0, 60"/>
          <w:between w:val="nil" w:sz="0" w:space="0" w:color="000000" tmln="20, 20, 20, 0, 0"/>
        </w:pBdr>
        <w:shd w:val="solid" w:color="FFFFFF" tmshd="6553856, 16777215, 16777215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В период с 2021 года отмечается положительная динамика объёмов привлечённых в город инвестиций. За 3 года объёмы увеличились в 2,4 раза (</w:t>
      </w:r>
      <w:r>
        <w:rPr>
          <w:rFonts w:ascii="Times New Roman" w:hAnsi="Times New Roman"/>
          <w:i/>
          <w:iCs/>
          <w:sz w:val="28"/>
          <w:szCs w:val="28"/>
          <w:lang w:eastAsia="en-us"/>
        </w:rPr>
        <w:t>с 2,6 млрд. рублей в 2021 году до 6,3 млрд. рублей в 2023</w:t>
      </w:r>
      <w:r>
        <w:rPr>
          <w:rFonts w:ascii="Times New Roman" w:hAnsi="Times New Roman"/>
          <w:sz w:val="28"/>
          <w:szCs w:val="28"/>
          <w:lang w:eastAsia="en-us"/>
        </w:rPr>
        <w:t>). Несомненно, такой рост в большей части обусловлен реализацией Яйским нефтеперерабатывающим заводом крупного инвестиционного проекта по строительству третьей очереди развития предприятия. На его долю приходится порядка 80% всех привлечённых инвестиций.</w:t>
      </w:r>
    </w:p>
    <w:p>
      <w:pPr>
        <w:ind w:firstLine="720"/>
        <w:contextualSpacing/>
        <w:widowControl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54" behindDoc="0" locked="0" layoutInCell="0" hidden="0" allowOverlap="1">
            <wp:simplePos x="0" y="0"/>
            <wp:positionH relativeFrom="column">
              <wp:posOffset>-23495</wp:posOffset>
            </wp:positionH>
            <wp:positionV relativeFrom="paragraph">
              <wp:posOffset>22225</wp:posOffset>
            </wp:positionV>
            <wp:extent cx="3070225" cy="3338830"/>
            <wp:effectExtent l="0" t="0" r="0" b="0"/>
            <wp:wrapTight wrapText="bothSides">
              <wp:wrapPolygon edited="0">
                <wp:start x="-107" y="440"/>
                <wp:lineTo x="-107" y="19780"/>
                <wp:lineTo x="1103" y="20220"/>
                <wp:lineTo x="20430" y="20220"/>
                <wp:lineTo x="20715" y="19780"/>
                <wp:lineTo x="20747" y="19341"/>
                <wp:lineTo x="20747" y="2198"/>
                <wp:lineTo x="20715" y="1758"/>
                <wp:lineTo x="20622" y="1319"/>
                <wp:lineTo x="20622" y="440"/>
                <wp:lineTo x="-107" y="440"/>
              </wp:wrapPolygon>
            </wp:wrapTight>
            <wp:docPr id="14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8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IAAAAAKMAAAAAAAAAAAAAAAAAAAIAAADb////AAAAAAIAAAAjAAAA4xIAAIoUAAAIAAEAEwQAAAUHAAAoAAAACAAAAAEAAAABAAAA"/>
                        </a:ext>
                      </a:extLst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7022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Решение задачи повышения инвестиционной активности, поставленной губернатором Кузбасса С.Е. Цивилевым, связано с активной реализацией инвестиционных проектов в рамках статуса территории опережающего социально-экономического развития. Так как срок действия льготного налогового режима для резидентов ТОР продлён до 2030 года необходимо использовать появившуюся возможность для успешного привлечения инвестиционных ресурсов. </w:t>
      </w:r>
    </w:p>
    <w:p>
      <w:pPr>
        <w:ind w:firstLine="720"/>
        <w:contextualSpacing/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Общий накопленный объем инвестиций в 2023 году от деятельности резидентов по отраслям перерабатывающей, пищевой и деревообрабатывающей промышленности составил 311,6 млн. руб., при создании 103 рабочих мест.</w:t>
      </w:r>
    </w:p>
    <w:p>
      <w:pPr>
        <w:ind w:firstLine="720"/>
        <w:contextualSpacing/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стадии сопровождения находились 5 потенциальных резидентов. Объем финансирования реализуемых проектов - 2,8 млрд рублей. Планируется создать 116 новых рабочих мест.</w:t>
      </w:r>
    </w:p>
    <w:p>
      <w:pPr>
        <w:ind w:firstLine="720"/>
        <w:contextualSpacing/>
        <w:widowControl/>
        <w:rPr>
          <w:b/>
          <w:sz w:val="40"/>
        </w:rPr>
      </w:pPr>
      <w:r>
        <w:rPr>
          <w:rFonts w:ascii="Times New Roman" w:hAnsi="Times New Roman"/>
          <w:sz w:val="28"/>
        </w:rPr>
        <w:t xml:space="preserve">Заявленные проекты имеют разностороннюю направленность. Наиболее масштабный из них - проект по запуску фанерно-плитного комбината, на котором планируется создание 50 рабочих мест. </w:t>
      </w:r>
      <w:r>
        <w:rPr>
          <w:b/>
          <w:sz w:val="40"/>
        </w:rPr>
      </w:r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noProof/>
        </w:rPr>
        <w:drawing>
          <wp:anchor distT="0" distB="0" distL="0" distR="0" simplePos="0" relativeHeight="251658255" behindDoc="0" locked="0" layoutInCell="0" hidden="0" allowOverlap="1">
            <wp:simplePos x="0" y="0"/>
            <wp:positionH relativeFrom="column">
              <wp:posOffset>265430</wp:posOffset>
            </wp:positionH>
            <wp:positionV relativeFrom="page">
              <wp:posOffset>8498840</wp:posOffset>
            </wp:positionV>
            <wp:extent cx="5981700" cy="1809750"/>
            <wp:effectExtent l="0" t="0" r="0" b="0"/>
            <wp:wrapNone/>
            <wp:docPr id="15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30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MAAAAAKAAAAAAAAAAAAAAAAAAAAIAAACiAQAAAAAAAAAAAABINAAAzCQAACILAAAIAAEA2gUAAEg0AAAoAAAACAAAAAEAAAABAAAA"/>
                        </a:ext>
                      </a:extLst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b w:val="0"/>
          <w:color w:val="4f6228"/>
          <w:sz w:val="40"/>
        </w:rPr>
      </w:r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b w:val="0"/>
          <w:color w:val="4f6228"/>
          <w:sz w:val="40"/>
        </w:rPr>
      </w:r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b w:val="0"/>
          <w:color w:val="4f6228"/>
          <w:sz w:val="40"/>
        </w:rPr>
      </w:r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noProof/>
        </w:rPr>
        <w:drawing>
          <wp:anchor distT="0" distB="0" distL="114300" distR="114300" simplePos="0" relativeHeight="251658256" behindDoc="0" locked="0" layoutInCell="0" hidden="0" allowOverlap="1">
            <wp:simplePos x="0" y="0"/>
            <wp:positionH relativeFrom="column">
              <wp:posOffset>-361950</wp:posOffset>
            </wp:positionH>
            <wp:positionV relativeFrom="paragraph">
              <wp:posOffset>410845</wp:posOffset>
            </wp:positionV>
            <wp:extent cx="3248025" cy="2047875"/>
            <wp:effectExtent l="0" t="0" r="0" b="0"/>
            <wp:wrapTight wrapText="bothSides">
              <wp:wrapPolygon edited="0">
                <wp:start x="-760" y="435"/>
                <wp:lineTo x="-760" y="21767"/>
                <wp:lineTo x="22360" y="21767"/>
                <wp:lineTo x="22360" y="435"/>
                <wp:lineTo x="-760" y="435"/>
              </wp:wrapPolygon>
            </wp:wrapTight>
            <wp:docPr id="16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2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PAAAAAKMAAAAAAAAAAAAAAAAAAAIAAADG/f//AAAAAAIAAACHAgAA+xMAAJkMAAAIAAEA/gEAAAUvAAAoAAAACAAAAAEAAAABAAAA"/>
                        </a:ext>
                      </a:extLst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57" behindDoc="0" locked="0" layoutInCell="0" hidden="0" allowOverlap="1">
            <wp:simplePos x="0" y="0"/>
            <wp:positionH relativeFrom="column">
              <wp:posOffset>2962275</wp:posOffset>
            </wp:positionH>
            <wp:positionV relativeFrom="paragraph">
              <wp:posOffset>410845</wp:posOffset>
            </wp:positionV>
            <wp:extent cx="3362325" cy="2047875"/>
            <wp:effectExtent l="0" t="0" r="0" b="0"/>
            <wp:wrapTight wrapText="bothSides">
              <wp:wrapPolygon edited="0">
                <wp:start x="-734" y="435"/>
                <wp:lineTo x="-734" y="21767"/>
                <wp:lineTo x="22334" y="21767"/>
                <wp:lineTo x="22334" y="435"/>
                <wp:lineTo x="-734" y="435"/>
              </wp:wrapPolygon>
            </wp:wrapTight>
            <wp:docPr id="17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4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PAAAAAKMAAAAAAAAAAAAAAAAAAAIAAAA5EgAAAAAAAAIAAACHAgAArxQAAJkMAAAIAAEAcRYAAAUvAAAoAAAACAAAAAEAAAABAAAA"/>
                        </a:ext>
                      </a:extLst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b w:val="0"/>
          <w:color w:val="4f6228"/>
          <w:sz w:val="40"/>
        </w:rPr>
        <w:t>Жилищное строительство</w:t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365f91"/>
          <w:sz w:val="28"/>
        </w:rPr>
        <w:t>2023 году введено 13051 м</w:t>
      </w:r>
      <w:r>
        <w:rPr>
          <w:rFonts w:ascii="Times New Roman" w:hAnsi="Times New Roman"/>
          <w:color w:val="365f91"/>
          <w:sz w:val="28"/>
          <w:vertAlign w:val="superscript"/>
        </w:rPr>
        <w:t>2</w:t>
      </w:r>
      <w:r>
        <w:rPr>
          <w:rFonts w:ascii="Times New Roman" w:hAnsi="Times New Roman"/>
          <w:color w:val="365f91"/>
          <w:sz w:val="28"/>
        </w:rPr>
        <w:t xml:space="preserve"> из них 7841 м</w:t>
      </w:r>
      <w:r>
        <w:rPr>
          <w:rFonts w:ascii="Times New Roman" w:hAnsi="Times New Roman"/>
          <w:color w:val="365f91"/>
          <w:sz w:val="28"/>
          <w:vertAlign w:val="superscript"/>
        </w:rPr>
        <w:t>2</w:t>
      </w:r>
      <w:r>
        <w:rPr>
          <w:rFonts w:ascii="Times New Roman" w:hAnsi="Times New Roman"/>
          <w:color w:val="365f91"/>
          <w:sz w:val="28"/>
        </w:rPr>
        <w:t xml:space="preserve"> МКД, 5210 м</w:t>
      </w:r>
      <w:r>
        <w:rPr>
          <w:rFonts w:ascii="Times New Roman" w:hAnsi="Times New Roman"/>
          <w:color w:val="365f91"/>
          <w:sz w:val="28"/>
          <w:vertAlign w:val="superscript"/>
        </w:rPr>
        <w:t xml:space="preserve">2 </w:t>
      </w:r>
      <w:r>
        <w:rPr>
          <w:rFonts w:ascii="Times New Roman" w:hAnsi="Times New Roman"/>
          <w:color w:val="365f91"/>
          <w:sz w:val="28"/>
        </w:rPr>
        <w:t xml:space="preserve">ИЖС. </w:t>
      </w: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58" behindDoc="0" locked="0" layoutInCell="0" hidden="0" allowOverlap="1">
            <wp:simplePos x="0" y="0"/>
            <wp:positionH relativeFrom="column">
              <wp:posOffset>-361950</wp:posOffset>
            </wp:positionH>
            <wp:positionV relativeFrom="paragraph">
              <wp:posOffset>177800</wp:posOffset>
            </wp:positionV>
            <wp:extent cx="6686550" cy="4429125"/>
            <wp:effectExtent l="0" t="0" r="0" b="0"/>
            <wp:wrapNone/>
            <wp:docPr id="18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6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RAAAAAKAAAAAAAAAAAAAAAAAAAAIAAADG/f//AAAAAAIAAAAYAQAAIikAAD8bAAAJAAEA/gEAAKgFAAAoAAAACAAAAAEAAAABAAAA"/>
                        </a:ext>
                      </a:extLst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ind w:firstLine="708"/>
        <w:rPr>
          <w:rFonts w:ascii="Times New Roman" w:hAnsi="Times New Roman"/>
          <w:color w:val="365f91"/>
          <w:sz w:val="26"/>
        </w:rPr>
      </w:pPr>
      <w:r>
        <w:rPr>
          <w:rFonts w:ascii="Times New Roman" w:hAnsi="Times New Roman"/>
          <w:color w:val="365f91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p>
      <w:pPr>
        <w:ind w:firstLine="708"/>
        <w:rPr>
          <w:rFonts w:ascii="Times New Roman" w:hAnsi="Times New Roman"/>
          <w:b/>
          <w:color w:val="ff0000"/>
          <w:sz w:val="26"/>
        </w:rPr>
      </w:pPr>
      <w:r>
        <w:rPr>
          <w:rFonts w:ascii="Times New Roman" w:hAnsi="Times New Roman"/>
          <w:b/>
          <w:color w:val="ff0000"/>
          <w:sz w:val="26"/>
        </w:rPr>
      </w:r>
    </w:p>
    <w:tbl>
      <w:tblPr>
        <w:tblStyle w:val="NormalTable"/>
        <w:name w:val="Таблица3"/>
        <w:tabOrder w:val="0"/>
        <w:jc w:val="left"/>
        <w:tblInd w:w="0" w:type="dxa"/>
        <w:tblW w:w="9913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5352"/>
        <w:gridCol w:w="3082"/>
        <w:gridCol w:w="1479"/>
      </w:tblGrid>
      <w:tr>
        <w:trPr>
          <w:tblHeader w:val="0"/>
          <w:cantSplit w:val="0"/>
          <w:trHeight w:val="0" w:hRule="auto"/>
        </w:trPr>
        <w:tc>
          <w:tcPr>
            <w:tcW w:w="5352" w:type="dxa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ПОКАЗАТЕЛИ</w:t>
            </w:r>
          </w:p>
        </w:tc>
        <w:tc>
          <w:tcPr>
            <w:tcW w:w="3082" w:type="dxa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ЕДИНИЦА ИЗМЕРЕНИЯ</w:t>
            </w:r>
          </w:p>
        </w:tc>
        <w:tc>
          <w:tcPr>
            <w:tcW w:w="1479" w:type="dxa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2023 г.</w:t>
            </w:r>
          </w:p>
        </w:tc>
      </w:tr>
      <w:tr>
        <w:trPr>
          <w:tblHeader w:val="0"/>
          <w:cantSplit w:val="0"/>
          <w:trHeight w:val="464" w:hRule="atLeast"/>
        </w:trPr>
        <w:tc>
          <w:tcPr>
            <w:tcW w:w="5352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right w:val="single" w:sz="24" w:space="0" w:color="FFFFFF" tmln="6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Средняя обеспеченность жильем одного жителя</w:t>
            </w:r>
          </w:p>
        </w:tc>
        <w:tc>
          <w:tcPr>
            <w:tcW w:w="3082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кв. м</w:t>
            </w:r>
          </w:p>
        </w:tc>
        <w:tc>
          <w:tcPr>
            <w:tcW w:w="1479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365f91"/>
                <w:sz w:val="24"/>
              </w:rPr>
            </w:pPr>
            <w:r>
              <w:rPr>
                <w:rFonts w:ascii="Times New Roman" w:hAnsi="Times New Roman"/>
                <w:color w:val="365f91"/>
                <w:sz w:val="24"/>
              </w:rPr>
              <w:t>27,6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52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right w:val="single" w:sz="24" w:space="0" w:color="FFFFFF" tmln="6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Ввод в действие предприятиями и организациями всех форм собственности жилых домов общей площадью</w:t>
            </w:r>
          </w:p>
        </w:tc>
        <w:tc>
          <w:tcPr>
            <w:tcW w:w="3082" w:type="dxa"/>
            <w:shd w:val="solid" w:color="CDDDAC" tmshd="1677721856, 0, 1132897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тыс. кв. м</w:t>
            </w:r>
          </w:p>
        </w:tc>
        <w:tc>
          <w:tcPr>
            <w:tcW w:w="1479" w:type="dxa"/>
            <w:shd w:val="solid" w:color="CDDDAC" tmshd="1677721856, 0, 1132897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365f91"/>
                <w:sz w:val="24"/>
              </w:rPr>
            </w:pPr>
            <w:r>
              <w:rPr>
                <w:rFonts w:ascii="Times New Roman" w:hAnsi="Times New Roman"/>
                <w:color w:val="365f91"/>
                <w:sz w:val="24"/>
              </w:rPr>
              <w:t>-</w:t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52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Общая площадь введенного жилья в расчете на душу населения города</w:t>
            </w:r>
          </w:p>
        </w:tc>
        <w:tc>
          <w:tcPr>
            <w:tcW w:w="3082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кв. м</w:t>
            </w:r>
          </w:p>
        </w:tc>
        <w:tc>
          <w:tcPr>
            <w:tcW w:w="1479" w:type="dxa"/>
            <w:shd w:val="solid" w:color="E6EED5" tmshd="1677721856, 0, 14020326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color w:val="365f91"/>
                <w:sz w:val="24"/>
              </w:rPr>
            </w:pPr>
            <w:r>
              <w:rPr>
                <w:rFonts w:ascii="Times New Roman" w:hAnsi="Times New Roman"/>
                <w:color w:val="365f91"/>
                <w:sz w:val="24"/>
              </w:rPr>
              <w:t>0,09</w:t>
            </w:r>
          </w:p>
        </w:tc>
      </w:tr>
    </w:tbl>
    <w:p>
      <w:pPr>
        <w:ind w:firstLine="879"/>
        <w:rPr>
          <w:rFonts w:ascii="Times New Roman" w:hAnsi="Times New Roman"/>
          <w:b/>
          <w:color w:val="ff0000"/>
          <w:sz w:val="28"/>
        </w:rPr>
      </w:pPr>
      <w:r>
        <w:rPr>
          <w:rFonts w:ascii="Times New Roman" w:hAnsi="Times New Roman"/>
          <w:b/>
          <w:color w:val="ff0000"/>
          <w:sz w:val="28"/>
        </w:rPr>
      </w:r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b w:val="0"/>
          <w:color w:val="4f6228"/>
          <w:sz w:val="40"/>
        </w:rPr>
        <w:t>Поддержка предпринимательства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За 5 лет действия муниципальной программы «Развитие и поддержка субъектов малого и среднего предпринимательства»  на создание новых производств из всех бюджетов выделено свыше 80 миллионов рублей. Финансовую поддержку на развитие получили более 150 субъектов малого и среднего предпринимательства.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На территории Анжеро-Судженского городского округа субъектам малого и среднего предпринимательства предусмотрены следующие виды поддержки: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- финансовая поддержка (льготное кредитование по программам поддержки МСП);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- информационная поддержка (своевременно происходит информирование СМСП о кредитных продуктах, в рамках программы поддержки предпринимательства и за ее пределами);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- льготы по земельному налогу и нулевая процентная ставка по аренде земли;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- займы субъектам малого и среднего предпринимательства через Муниципальный некоммерческий фонд поддержки малого и среднего предпринимательства, Государственный фонд поддержки предпринимательства Кемеровской области, а так же Фонд развития моногородов.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- организовано единое окно по оказанию государственных и муниципальных услуг для предпринимателей в офисе «Мои документы».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На протяжении 21 лет действует Совет предпринимателей, один из самых деятельных и активных в Кузбассе. 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Общее число задействованных в предпринимательской сфере приближается к пяти тысячам человек. Суммарный годовой оборот по всем видам деятельности превышает 4,8 млрд рублей. </w:t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r/>
    </w:p>
    <w:p>
      <w:r/>
    </w:p>
    <w:p>
      <w:r/>
    </w:p>
    <w:p>
      <w:r/>
    </w:p>
    <w:p>
      <w:r/>
    </w:p>
    <w:p>
      <w:r/>
    </w:p>
    <w:p>
      <w:r/>
    </w:p>
    <w:p>
      <w:r/>
    </w:p>
    <w:p>
      <w:r/>
    </w:p>
    <w:p>
      <w:r/>
    </w:p>
    <w:p>
      <w:pPr>
        <w:pStyle w:val="para60"/>
        <w:spacing w:before="280" w:after="280"/>
        <w:rPr>
          <w:b w:val="0"/>
          <w:color w:val="4f6228"/>
          <w:sz w:val="40"/>
        </w:rPr>
      </w:pPr>
      <w:r>
        <w:rPr>
          <w:b w:val="0"/>
          <w:color w:val="4f6228"/>
          <w:sz w:val="40"/>
        </w:rPr>
        <w:t>Финансовый потенциал</w:t>
      </w:r>
    </w:p>
    <w:p>
      <w:pPr>
        <w:ind w:firstLine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Финансовая инфраструктура городского округа представлена совокупностью институтов, предприятий и организаций, осуществляющих экономическую деятельность по следующим направлениям: оказание финансово-кредитных услуг; оказание страховых услуг. </w:t>
      </w:r>
    </w:p>
    <w:p>
      <w:pPr>
        <w:ind w:firstLine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Основную долю финансово-кредитных услуг оказывает банковский сектор экономики. Банковская сфера городского округа представлена ПАО «Сберегательный банк России», «Азиатско-Тихоокеанский банк», «Открытие», «Почта Банк», «Совкомбанк», «ВТБ».</w:t>
      </w:r>
    </w:p>
    <w:p>
      <w:pPr>
        <w:ind w:firstLine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Также на территории городского округа представлен ряд страховых компаний: «Сибирский Спасс», «Росэнерго», «Альфастрахование». </w:t>
      </w:r>
    </w:p>
    <w:p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Бюджет муниципального образования «Анжеро-Судженский городской округ» за 12 месяцев 2023 года выполнен по доходам на 98,5% к годовому плану и составил 5 175 237,6 тыс. рублей, при годовом плане – 5 253 790,3 тыс. рублей. К первоначальному плану доходы выполнены на 112,%, по сравнению с уровнем прошлого года на 92,1%.</w:t>
      </w:r>
    </w:p>
    <w:p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сравнению с уровнем прошлого года налоговые и неналоговые доходы бюджета выполнены на 108,8% и составили 897 449,9  тыс. рублей.</w:t>
      </w:r>
    </w:p>
    <w:p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Налоговые доходы выполнены к годовому плану на 102,9%   и составили 774 502,0 тыс. рублей, при плане – 752 823,0 тыс. рублей. Доля налоговых доходов в собственных доходах городского округа – 86,3%. По сравнению с уровнем прошлого года выполнение составило 121,7%. </w:t>
      </w:r>
    </w:p>
    <w:p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Неналоговые доходы выполнены к годовому плану на 102,5% и составили 122 947,9 тыс. руб., при плане – 119 904,6 тыс. рублей, по сравнению с уровнем 2022 года поступления составили 65,3%. Доля неналоговых доходов – 13,7%.</w:t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color w:val="4f6228"/>
          <w:sz w:val="40"/>
        </w:rPr>
      </w:pPr>
      <w:r>
        <w:rPr>
          <w:color w:val="4f6228"/>
          <w:sz w:val="40"/>
        </w:rPr>
        <w:t>Развитие и приумножение человеческого капитала</w:t>
      </w:r>
    </w:p>
    <w:p>
      <w:pPr>
        <w:ind w:firstLine="567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</w:r>
    </w:p>
    <w:p>
      <w:pPr>
        <w:ind w:firstLine="567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Система профессионального образования состоит из учреждений среднего профессионального образования:</w:t>
      </w:r>
    </w:p>
    <w:p>
      <w:pPr>
        <w:ind w:firstLine="567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</w:r>
    </w:p>
    <w:tbl>
      <w:tblPr>
        <w:tblStyle w:val="NormalTable"/>
        <w:name w:val="Таблица4"/>
        <w:tabOrder w:val="0"/>
        <w:jc w:val="left"/>
        <w:tblInd w:w="0" w:type="dxa"/>
        <w:tblW w:w="10375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4884"/>
        <w:gridCol w:w="2433"/>
        <w:gridCol w:w="3058"/>
      </w:tblGrid>
      <w:tr>
        <w:trPr>
          <w:tblHeader w:val="0"/>
          <w:cantSplit w:val="0"/>
          <w:trHeight w:val="357" w:hRule="atLeast"/>
        </w:trPr>
        <w:tc>
          <w:tcPr>
            <w:tcW w:w="10375" w:type="dxa"/>
            <w:gridSpan w:val="3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Образование</w:t>
            </w:r>
          </w:p>
        </w:tc>
      </w:tr>
      <w:tr>
        <w:trPr>
          <w:tblHeader w:val="0"/>
          <w:cantSplit w:val="0"/>
          <w:trHeight w:val="580" w:hRule="atLeast"/>
        </w:trPr>
        <w:tc>
          <w:tcPr>
            <w:tcW w:w="4884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 xml:space="preserve">ГПОУ «Анжеро-Судженский политехнический колледж» </w:t>
            </w:r>
          </w:p>
        </w:tc>
        <w:tc>
          <w:tcPr>
            <w:tcW w:w="2433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чел.</w:t>
            </w:r>
          </w:p>
        </w:tc>
        <w:tc>
          <w:tcPr>
            <w:tcW w:w="3058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1602</w:t>
            </w:r>
          </w:p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blHeader w:val="0"/>
          <w:cantSplit w:val="0"/>
          <w:trHeight w:val="580" w:hRule="atLeast"/>
        </w:trPr>
        <w:tc>
          <w:tcPr>
            <w:tcW w:w="4884" w:type="dxa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Специальности:</w:t>
            </w:r>
          </w:p>
        </w:tc>
        <w:tc>
          <w:tcPr>
            <w:tcW w:w="5491" w:type="dxa"/>
            <w:gridSpan w:val="2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Переработка нефти и газа 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Химическая технология производства химических соединений 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Фармация 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Пожарная безопасность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Компьютерные системы и комплексы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Мастер по ремонту и обслуживанию автомобилей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Монтаж, техническое обслуживание  и ремонт промышленного оборудования (по отраслям)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Сварщик (ручной и частично механизированной сварки (наплавки)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Эксплуатация и обслуживание электрического и электромеханического оборудования.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Повар, кондитер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Открытые горные работы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Электрослесарь подземный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Экологическая безопасность природных комплексов</w:t>
            </w:r>
          </w:p>
        </w:tc>
      </w:tr>
      <w:tr>
        <w:trPr>
          <w:tblHeader w:val="0"/>
          <w:cantSplit w:val="0"/>
          <w:trHeight w:val="272" w:hRule="atLeast"/>
        </w:trPr>
        <w:tc>
          <w:tcPr>
            <w:tcW w:w="4884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8" w:space="0" w:color="FFFFFF" tmln="20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ГОУ «Анжеро-Судженский педагогический колледж»</w:t>
            </w:r>
          </w:p>
        </w:tc>
        <w:tc>
          <w:tcPr>
            <w:tcW w:w="2433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чел.</w:t>
            </w:r>
          </w:p>
        </w:tc>
        <w:tc>
          <w:tcPr>
            <w:tcW w:w="3058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472</w:t>
            </w:r>
          </w:p>
        </w:tc>
      </w:tr>
      <w:tr>
        <w:trPr>
          <w:tblHeader w:val="0"/>
          <w:cantSplit w:val="0"/>
          <w:trHeight w:val="272" w:hRule="atLeast"/>
        </w:trPr>
        <w:tc>
          <w:tcPr>
            <w:tcW w:w="4884" w:type="dxa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Направления обучения:</w:t>
            </w:r>
          </w:p>
        </w:tc>
        <w:tc>
          <w:tcPr>
            <w:tcW w:w="5491" w:type="dxa"/>
            <w:gridSpan w:val="2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Преподавание в начальных классах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Педагогика дополнительного образования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Специальное дошкольное образование</w:t>
            </w:r>
          </w:p>
          <w:p>
            <w:pPr>
              <w:spacing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Документационное обеспечение управления и архивоведение.</w:t>
            </w:r>
          </w:p>
        </w:tc>
      </w:tr>
      <w:tr>
        <w:trPr>
          <w:tblHeader w:val="0"/>
          <w:cantSplit w:val="0"/>
          <w:trHeight w:val="272" w:hRule="atLeast"/>
        </w:trPr>
        <w:tc>
          <w:tcPr>
            <w:tcW w:w="4884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 xml:space="preserve">ГОУ </w:t>
            </w:r>
          </w:p>
          <w:p>
            <w:pPr>
              <w:spacing/>
              <w:jc w:val="left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«Анжеро-Судженский медицинский колледж»</w:t>
            </w:r>
          </w:p>
        </w:tc>
        <w:tc>
          <w:tcPr>
            <w:tcW w:w="2433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чел.</w:t>
            </w:r>
          </w:p>
        </w:tc>
        <w:tc>
          <w:tcPr>
            <w:tcW w:w="3058" w:type="dxa"/>
            <w:shd w:val="solid" w:color="C2D69B" tmshd="1677721856, 0, 10213058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6" w:space="0" w:color="FFFFFF" tmln="15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483</w:t>
            </w:r>
          </w:p>
        </w:tc>
      </w:tr>
      <w:tr>
        <w:trPr>
          <w:tblHeader w:val="0"/>
          <w:cantSplit w:val="0"/>
          <w:trHeight w:val="272" w:hRule="atLeast"/>
        </w:trPr>
        <w:tc>
          <w:tcPr>
            <w:tcW w:w="4884" w:type="dxa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right w:val="single" w:sz="24" w:space="0" w:color="FFFFFF" tmln="60, 20, 20, 0, 0"/>
            </w:tcBorders>
            <w:tmTcPr id="1733124711" protected="0"/>
          </w:tcPr>
          <w:p>
            <w:pPr>
              <w:spacing/>
              <w:jc w:val="left"/>
              <w:tabs defTabSz="709">
                <w:tab w:val="left" w:pos="1695" w:leader="none"/>
              </w:tabs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Направления обучения:</w:t>
            </w:r>
          </w:p>
        </w:tc>
        <w:tc>
          <w:tcPr>
            <w:tcW w:w="5491" w:type="dxa"/>
            <w:gridSpan w:val="2"/>
            <w:shd w:val="solid" w:color="D6E3BC" tmshd="1677721856, 0, 12379094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6" w:space="0" w:color="FFFFFF" tmln="15, 20, 20, 0, 0"/>
              <w:left w:val="single" w:sz="8" w:space="0" w:color="FFFFFF" tmln="20, 20, 20, 0, 0"/>
              <w:bottom w:val="single" w:sz="8" w:space="0" w:color="FFFFFF" tmln="20, 20, 20, 0, 0"/>
              <w:right w:val="single" w:sz="8" w:space="0" w:color="FFFFFF" tmln="20, 20, 20, 0, 0"/>
            </w:tcBorders>
            <w:tmTcPr id="1733124711" protected="0"/>
          </w:tcPr>
          <w:p>
            <w:pPr>
              <w: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Лечебное дело, сестринское дело.</w:t>
            </w:r>
          </w:p>
        </w:tc>
      </w:tr>
    </w:tbl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 этом система профессионального образования Анжеро-Судженского городского округа является гибкой и может переориентироваться в соответствии с потребностями инвесторов.</w:t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color w:val="4f6228"/>
          <w:sz w:val="40"/>
        </w:rPr>
      </w:pPr>
      <w:r>
        <w:rPr>
          <w:color w:val="4f6228"/>
          <w:sz w:val="40"/>
        </w:rPr>
        <w:t xml:space="preserve">Стратегия развития 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Важнейшими параметрами, определяющими инвестиционную привлекательность городского округа и региона в целом являются имеющиеся ресурсы, уровень развития инновационной деятельности, а также степень активности властей по формированию нормативного правового поля стимулирования развития инвестиционной активности и экономически активного населения региона.  </w:t>
      </w:r>
    </w:p>
    <w:p>
      <w:pPr>
        <w:pStyle w:val="para60"/>
        <w:spacing w:before="280" w:after="280"/>
        <w:rPr>
          <w:rFonts w:ascii="Times New Roman" w:hAnsi="Times New Roman"/>
          <w:sz w:val="28"/>
        </w:rPr>
      </w:pPr>
      <w:r>
        <w:rPr>
          <w:noProof/>
        </w:rPr>
        <w:drawing>
          <wp:anchor distT="0" distB="0" distL="114300" distR="114300" simplePos="0" relativeHeight="251658259" behindDoc="0" locked="0" layoutInCell="0" hidden="0" allowOverlap="1">
            <wp:simplePos x="0" y="0"/>
            <wp:positionH relativeFrom="column">
              <wp:posOffset>2792730</wp:posOffset>
            </wp:positionH>
            <wp:positionV relativeFrom="paragraph">
              <wp:posOffset>63500</wp:posOffset>
            </wp:positionV>
            <wp:extent cx="3638550" cy="2428875"/>
            <wp:effectExtent l="0" t="0" r="0" b="0"/>
            <wp:wrapSquare wrapText="bothSides"/>
            <wp:docPr id="19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8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eAAAAAKIAAAAAAAAAAAAAAAAAAAIAAAAuEQAAAAAAAAIAAABkAAAAYhYAAPEOAAAMAAEAZhUAAIAxAAAoAAAACAAAAAEAAAABAAAA"/>
                        </a:ext>
                      </a:extLst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Сегодня Анжеро-Судженск идет по пути преображения шахтерского моногорода в город с многопрофильной экономикой, социально успешный и благоприятный для жизни. 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В июле 2014 года городской округ вошел в Программу развития монопрофильных городов России. В рамках соглашения о сотрудничестве между администрацией Кемеровской области и Фондом развития моногородов построено четыре современных объекта инженерной инфраструктуры: воздушная линия электропередачи ВЛ-110 кВ, подстанция «Мазутная» 110/6 кВ, два водовода диаметром 400 и 500 мм. Общий объем финансирования составил около одного млрд рублей. </w:t>
      </w:r>
    </w:p>
    <w:p>
      <w:pPr>
        <w:ind w:firstLine="540"/>
        <w:rPr>
          <w:color w:val="4f6228"/>
          <w:sz w:val="40"/>
        </w:rPr>
      </w:pPr>
      <w:r>
        <w:rPr>
          <w:noProof/>
        </w:rPr>
        <w:drawing>
          <wp:anchor distT="0" distB="0" distL="114300" distR="114300" simplePos="0" relativeHeight="251658260" behindDoc="0" locked="0" layoutInCell="0" hidden="0" allowOverlap="1">
            <wp:simplePos x="0" y="0"/>
            <wp:positionH relativeFrom="column">
              <wp:posOffset>106045</wp:posOffset>
            </wp:positionH>
            <wp:positionV relativeFrom="paragraph">
              <wp:posOffset>134620</wp:posOffset>
            </wp:positionV>
            <wp:extent cx="1882140" cy="2668905"/>
            <wp:effectExtent l="0" t="0" r="0" b="0"/>
            <wp:wrapTight wrapText="bothSides">
              <wp:wrapPolygon edited="0">
                <wp:start x="-1312" y="0"/>
                <wp:lineTo x="22912" y="0"/>
                <wp:lineTo x="22912" y="21600"/>
                <wp:lineTo x="-1312" y="21600"/>
                <wp:lineTo x="-1312" y="0"/>
              </wp:wrapPolygon>
            </wp:wrapTight>
            <wp:docPr id="2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40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gAAAAAKMAAAAAAAAAAAAAAAAAAAIAAACnAAAAAAAAAAIAAADUAAAAlAsAAGsQAAANAAEA3wQAAHINAAAoAAAACAAAAAEAAAABAAAA"/>
                        </a:ext>
                      </a:extLst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4f6228"/>
          <w:sz w:val="40"/>
        </w:rPr>
      </w:r>
    </w:p>
    <w:p>
      <w:pPr>
        <w:ind w:firstLine="540"/>
        <w:rPr>
          <w:color w:val="4f6228"/>
          <w:sz w:val="40"/>
        </w:rPr>
      </w:pPr>
      <w:r>
        <w:rPr>
          <w:color w:val="4f6228"/>
          <w:sz w:val="40"/>
        </w:rPr>
        <w:t>ТОСЭР «Анжеро-Судженск»</w:t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>19 сентября 2016 года Постановлением Правительства РФ № 941 Анжеро-Судженскому городскому округу присвоен статус</w:t>
      </w:r>
      <w:r>
        <w:rPr>
          <w:rFonts w:ascii="Times New Roman" w:hAnsi="Times New Roman"/>
          <w:sz w:val="28"/>
        </w:rPr>
        <w:t xml:space="preserve"> территории опережающего социально-экономического развития   (ТОСЭР)</w:t>
      </w:r>
      <w:r>
        <w:rPr>
          <w:rFonts w:ascii="Times New Roman" w:hAnsi="Times New Roman"/>
          <w:b w:val="0"/>
          <w:sz w:val="28"/>
        </w:rPr>
        <w:t>. Данный статус открывает новые возможности и благоприятные перспективы для создания новых производств, повышает имидж городского округа для потенциальных инвесторов с привлечением частного капитала.</w:t>
      </w:r>
      <w:r>
        <w:rPr>
          <w:rFonts w:ascii="Times New Roman" w:hAnsi="Times New Roman"/>
          <w:b w:val="0"/>
          <w:sz w:val="28"/>
        </w:rPr>
      </w:r>
    </w:p>
    <w:p>
      <w:pPr>
        <w:pStyle w:val="para60"/>
        <w:spacing w:before="280" w:after="280"/>
        <w:rPr>
          <w:rFonts w:ascii="Times New Roman" w:hAnsi="Times New Roman"/>
          <w:b w:val="0"/>
          <w:sz w:val="28"/>
        </w:rPr>
      </w:pPr>
      <w:r>
        <w:rPr>
          <w:rFonts w:ascii="Times New Roman" w:hAnsi="Times New Roman"/>
          <w:b w:val="0"/>
          <w:sz w:val="28"/>
        </w:rPr>
        <w:t xml:space="preserve">В соответствии с утвержденной Программой социально-экономического развития Анжеро-Судженского городского округа, Комплексной программой развития моногорода с учетом статуса ТОСЭР, будет создано 3500 новых рабочих мест, суммарная стоимость инвестиционных проектов оценивается в 16 млрд рублей. </w:t>
      </w:r>
    </w:p>
    <w:p>
      <w:pPr>
        <w:spacing/>
        <w:jc w:val="center"/>
        <w:rPr>
          <w:color w:val="4f6228"/>
          <w:sz w:val="40"/>
        </w:rPr>
      </w:pPr>
      <w:r>
        <w:rPr>
          <w:color w:val="4f6228"/>
          <w:sz w:val="40"/>
        </w:rPr>
        <w:t>Как стать резидентом ТОР «Анжеро-Судженск»</w:t>
      </w:r>
    </w:p>
    <w:p>
      <w:pPr>
        <w:ind w:firstLine="426"/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5 шагов к реализации проекта в ТОСЭР «Анжеро-Судженск»</w:t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numPr>
          <w:ilvl w:val="0"/>
          <w:numId w:val="3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1-ый: </w:t>
      </w:r>
      <w:r>
        <w:rPr>
          <w:rFonts w:ascii="Times New Roman" w:hAnsi="Times New Roman"/>
          <w:sz w:val="28"/>
        </w:rPr>
        <w:t xml:space="preserve">зайти на сайт </w:t>
      </w:r>
      <w:hyperlink r:id="rId29" w:history="1">
        <w:r>
          <w:rPr>
            <w:rFonts w:ascii="Times New Roman" w:hAnsi="Times New Roman"/>
            <w:sz w:val="28"/>
            <w:u w:color="auto" w:val="single"/>
          </w:rPr>
          <w:t>keminvest.ru</w:t>
        </w:r>
      </w:hyperlink>
      <w:r>
        <w:rPr>
          <w:rFonts w:ascii="Times New Roman" w:hAnsi="Times New Roman"/>
          <w:sz w:val="28"/>
        </w:rPr>
        <w:t xml:space="preserve"> раздел «ТОР» и изучить нормативные документы</w:t>
      </w:r>
    </w:p>
    <w:p>
      <w:pPr>
        <w:numPr>
          <w:ilvl w:val="0"/>
          <w:numId w:val="3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2-ой: получить</w:t>
      </w:r>
      <w:r>
        <w:rPr>
          <w:rFonts w:ascii="Times New Roman" w:hAnsi="Times New Roman"/>
          <w:sz w:val="28"/>
        </w:rPr>
        <w:t xml:space="preserve"> консультацию в</w:t>
      </w:r>
      <w:r>
        <w:rPr>
          <w:rStyle w:val="char1"/>
          <w:sz w:val="28"/>
        </w:rPr>
        <w:t xml:space="preserve"> Министерстве экономического развития Кузбасса </w:t>
      </w:r>
      <w:r>
        <w:rPr>
          <w:rFonts w:ascii="Times New Roman" w:hAnsi="Times New Roman"/>
          <w:sz w:val="28"/>
        </w:rPr>
        <w:t>по тел.</w:t>
      </w:r>
      <w:r>
        <w:rPr>
          <w:rStyle w:val="char1"/>
          <w:sz w:val="28"/>
        </w:rPr>
        <w:t>+7 (3842) 58-72-67</w:t>
      </w:r>
      <w:r>
        <w:rPr>
          <w:rFonts w:ascii="Times New Roman" w:hAnsi="Times New Roman"/>
          <w:sz w:val="28"/>
        </w:rPr>
        <w:t xml:space="preserve"> либо в МНФ «Поддержки малого и среднего предпринимательства г. Анжеро-Судженск» тел.: (38453)64475</w:t>
      </w:r>
      <w:r>
        <w:rPr>
          <w:rFonts w:ascii="Times New Roman" w:hAnsi="Times New Roman"/>
          <w:sz w:val="28"/>
        </w:rPr>
      </w:r>
    </w:p>
    <w:p>
      <w:pPr>
        <w:numPr>
          <w:ilvl w:val="0"/>
          <w:numId w:val="3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3-ий: </w:t>
      </w:r>
      <w:r>
        <w:rPr>
          <w:rFonts w:ascii="Times New Roman" w:hAnsi="Times New Roman"/>
          <w:sz w:val="28"/>
        </w:rPr>
        <w:t>подготовить бизнес-план и инвестиционный паспорт проекта</w:t>
      </w:r>
    </w:p>
    <w:p>
      <w:pPr>
        <w:numPr>
          <w:ilvl w:val="0"/>
          <w:numId w:val="3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4-ый: </w:t>
      </w:r>
      <w:r>
        <w:rPr>
          <w:rFonts w:ascii="Times New Roman" w:hAnsi="Times New Roman"/>
          <w:sz w:val="28"/>
        </w:rPr>
        <w:t>обратиться в Администрацию Анжеро-Судженского городского округа для подбора оптимальной площадки в целях размещения проекта</w:t>
      </w:r>
    </w:p>
    <w:p>
      <w:pPr>
        <w:numPr>
          <w:ilvl w:val="0"/>
          <w:numId w:val="3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5-ый: </w:t>
      </w:r>
      <w:r>
        <w:rPr>
          <w:rFonts w:ascii="Times New Roman" w:hAnsi="Times New Roman"/>
          <w:sz w:val="28"/>
        </w:rPr>
        <w:t>подготовить документы и представить в департамент инвестиций и стратегического развития Кемеровской области</w:t>
      </w:r>
    </w:p>
    <w:p>
      <w:pPr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Преференции и льготы резидентам ТОР «Анжеро-Судженск»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0% налог на прибыль в федеральный бюджет первые 5 лет, после - 2%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снижение тарифов страховых взносов в государственные внебюджетные фонды с 30% до 7,6% от ФОТ; 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5% налог на прибыль в региональный бюджет  первые 5 лет, после - 10%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0%  налога на имущество в региональный бюджет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0% земельного налога в местный бюджет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 ставка на аренду земли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0% коэффициент на добычу полезных ископаемых первые 2 года, 0,2% - от 2 до 4 лет, 0,4% - от 4 до 6 лет и т.д.</w:t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льготный режим подключения к различным объектам инфраструктуры</w:t>
      </w:r>
    </w:p>
    <w:p>
      <w:pPr>
        <w:pStyle w:val="para32"/>
        <w:ind w:left="786"/>
        <w:tabs defTabSz="709">
          <w:tab w:val="left" w:pos="0" w:leader="none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pStyle w:val="para32"/>
        <w:ind w:left="786"/>
        <w:tabs defTabSz="709">
          <w:tab w:val="left" w:pos="0" w:leader="none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Муниципальные льготы резидентам ТОР «Анжеро-Судженск»</w:t>
      </w:r>
    </w:p>
    <w:p>
      <w:pPr>
        <w:pStyle w:val="para32"/>
        <w:ind w:left="786"/>
        <w:tabs defTabSz="709">
          <w:tab w:val="left" w:pos="0" w:leader="none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pStyle w:val="para32"/>
        <w:numPr>
          <w:ilvl w:val="0"/>
          <w:numId w:val="2"/>
        </w:numPr>
        <w:ind w:left="782" w:hanging="357"/>
        <w:spacing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освобождение от арендной платы за земельный участок (в муниципальной собственности на период реализации проекта</w:t>
      </w:r>
    </w:p>
    <w:p>
      <w:pPr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widowControl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Требования к инвестиционным проектам на ТОР «Анжеро-Судженск»</w:t>
      </w:r>
    </w:p>
    <w:p>
      <w:pPr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pStyle w:val="para32"/>
        <w:numPr>
          <w:ilvl w:val="0"/>
          <w:numId w:val="4"/>
        </w:numPr>
        <w:ind w:left="720" w:hanging="360"/>
        <w: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инвестор - коммерческая организация (кроме МУПов, ГУПов, финансовых организаций, градообразующих предприятий и их дочерних предприятий)</w:t>
      </w:r>
    </w:p>
    <w:p>
      <w:pPr>
        <w:pStyle w:val="para32"/>
        <w:numPr>
          <w:ilvl w:val="0"/>
          <w:numId w:val="4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инвестор зарегистрирован и ведет деятельность на территории города Анжеро-Судженска</w:t>
      </w:r>
    </w:p>
    <w:p>
      <w:pPr>
        <w:pStyle w:val="para32"/>
        <w:numPr>
          <w:ilvl w:val="0"/>
          <w:numId w:val="4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инвестор применяет общую систему налогообложения</w:t>
      </w:r>
    </w:p>
    <w:p>
      <w:pPr>
        <w:pStyle w:val="para32"/>
        <w:numPr>
          <w:ilvl w:val="0"/>
          <w:numId w:val="4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число созданных новых рабочих мест - не менее 10 в первый год</w:t>
      </w:r>
    </w:p>
    <w:p>
      <w:pPr>
        <w:pStyle w:val="para32"/>
        <w:numPr>
          <w:ilvl w:val="0"/>
          <w:numId w:val="4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объем</w:t>
        <w:tab/>
        <w:t xml:space="preserve">инвестиций </w:t>
        <w:tab/>
        <w:t xml:space="preserve">в  реализацию инвестиционного проекта в первый год - не менее 2,5 млн. рублей </w:t>
      </w:r>
    </w:p>
    <w:p>
      <w:pPr>
        <w:pStyle w:val="para32"/>
        <w:numPr>
          <w:ilvl w:val="0"/>
          <w:numId w:val="4"/>
        </w:numPr>
        <w:ind w:left="720" w:hanging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реализация проекта ведется исключительно по видам деятельности, разрешенным к осуществлению на ТОСЭР «Анжеро-Судженск» (постановление Правительства РФ от 19.09.2016 № 941)</w:t>
      </w:r>
    </w:p>
    <w:p>
      <w:pPr>
        <w:pStyle w:val="para32"/>
        <w:ind w:left="36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para32"/>
        <w:ind w:left="360"/>
        <w: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Виды экономической деятельности, разрешенные к осуществлению на ТОР «Анжеро-Судженск»</w:t>
      </w:r>
    </w:p>
    <w:p>
      <w:pPr>
        <w:pStyle w:val="para32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ind w:firstLine="680"/>
        <w:widowControl/>
        <w:rPr>
          <w:rFonts w:ascii="Times New Roman" w:hAnsi="Times New Roman"/>
          <w:sz w:val="28"/>
        </w:rPr>
      </w:pPr>
      <w:r>
        <w:rPr>
          <w:rStyle w:val="char32"/>
          <w:rFonts w:ascii="Times New Roman" w:hAnsi="Times New Roman"/>
          <w:sz w:val="28"/>
        </w:rPr>
        <w:t>Разрещённые</w:t>
      </w:r>
      <w:r>
        <w:rPr>
          <w:rStyle w:val="char32"/>
          <w:rFonts w:ascii="Times New Roman" w:hAnsi="Times New Roman"/>
          <w:sz w:val="28"/>
        </w:rPr>
        <w:t xml:space="preserve"> виды деятельности для резидентов ТОР указаны в</w:t>
      </w:r>
      <w:r>
        <w:rPr>
          <w:rStyle w:val="char32"/>
          <w:rFonts w:ascii="Times New Roman" w:hAnsi="Times New Roman"/>
          <w:sz w:val="28"/>
        </w:rPr>
        <w:br w:type="textWrapping"/>
      </w:r>
      <w:hyperlink r:id="rId30" w:history="1">
        <w:r>
          <w:rPr>
            <w:rStyle w:val="char32"/>
            <w:rFonts w:ascii="Times New Roman" w:hAnsi="Times New Roman"/>
            <w:sz w:val="28"/>
          </w:rPr>
          <w:t>Постановление Правительства Российской Федерации от 21.07.2023 № 1179</w:t>
        </w:r>
      </w:hyperlink>
      <w:r>
        <w:rPr>
          <w:rStyle w:val="char32"/>
          <w:rFonts w:ascii="Times New Roman" w:hAnsi="Times New Roman"/>
          <w:sz w:val="28"/>
        </w:rPr>
        <w:br w:type="textWrapping"/>
        <w:t>"О внесении изменений в постановление Правительства Российской Федерации от 22 июня 2015 г. № 614 и о признании утратившими силу некоторых актов и отдельных положений некоторых актов Правительства Российской Федерации"</w:t>
      </w:r>
      <w:r>
        <w:rPr>
          <w:rFonts w:ascii="Times New Roman" w:hAnsi="Times New Roman"/>
          <w:sz w:val="28"/>
        </w:rPr>
      </w:r>
    </w:p>
    <w:p>
      <w:pPr>
        <w:pStyle w:val="para32"/>
        <w:spacing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para32"/>
        <w:spacing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 более подробной информацией Вы можете ознакомиться на городском инвестиционном портале </w:t>
      </w:r>
      <w:hyperlink r:id="rId31" w:history="1">
        <w:r>
          <w:rPr>
            <w:rFonts w:ascii="Times New Roman" w:hAnsi="Times New Roman"/>
            <w:sz w:val="28"/>
          </w:rPr>
          <w:t>www.анжеркабезналогов.рф</w:t>
        </w:r>
      </w:hyperlink>
      <w:r>
        <w:rPr>
          <w:rFonts w:ascii="Times New Roman" w:hAnsi="Times New Roman"/>
          <w:sz w:val="28"/>
        </w:rPr>
        <w:t xml:space="preserve">  </w:t>
      </w:r>
    </w:p>
    <w:p>
      <w:pPr>
        <w:pStyle w:val="para32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</w:r>
    </w:p>
    <w:p>
      <w:pPr>
        <w:rPr>
          <w:rFonts w:ascii="Times New Roman" w:hAnsi="Times New Roman"/>
          <w:sz w:val="26"/>
        </w:rPr>
      </w:pPr>
      <w:r>
        <w:rPr>
          <w:noProof/>
        </w:rPr>
        <w:drawing>
          <wp:anchor distT="0" distB="0" distL="0" distR="0" simplePos="0" relativeHeight="251658261" behindDoc="0" locked="0" layoutInCell="0" hidden="0" allowOverlap="1">
            <wp:simplePos x="0" y="0"/>
            <wp:positionH relativeFrom="column">
              <wp:posOffset>2479040</wp:posOffset>
            </wp:positionH>
            <wp:positionV relativeFrom="paragraph">
              <wp:posOffset>74930</wp:posOffset>
            </wp:positionV>
            <wp:extent cx="1409700" cy="1409700"/>
            <wp:effectExtent l="0" t="0" r="0" b="0"/>
            <wp:wrapNone/>
            <wp:docPr id="21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2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OAQAAAKAAAAAAAAAAAAAAAAAAAAIAAABADwAAAAAAAAIAAAB2AAAArAgAAKwIAAAOAAEAeBMAANk4AAAoAAAACAAAAAEAAAABAAAA"/>
                        </a:ext>
                      </a:extLst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6"/>
        </w:rPr>
      </w:r>
    </w:p>
    <w:p>
      <w:pPr>
        <w:pStyle w:val="para58"/>
        <w:rPr>
          <w:sz w:val="26"/>
        </w:rPr>
      </w:pPr>
      <w:r>
        <w:rPr>
          <w:sz w:val="26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ind w:firstLine="708"/>
        <w:spacing/>
        <w:jc w:val="center"/>
        <w:rPr>
          <w:b/>
          <w:sz w:val="28"/>
        </w:rPr>
      </w:pPr>
      <w:r>
        <w:rPr>
          <w:b/>
          <w:sz w:val="28"/>
        </w:rPr>
        <w:t xml:space="preserve">Реестр свободных индустриальных площадок </w:t>
      </w:r>
    </w:p>
    <w:p>
      <w:pPr>
        <w:pStyle w:val="para58"/>
        <w:ind w:firstLine="708"/>
        <w:spacing/>
        <w:jc w:val="center"/>
        <w:rPr>
          <w:b/>
          <w:sz w:val="28"/>
        </w:rPr>
      </w:pPr>
      <w:r>
        <w:rPr>
          <w:b/>
          <w:sz w:val="28"/>
        </w:rPr>
        <w:t xml:space="preserve">на территории муниципального образования </w:t>
      </w:r>
    </w:p>
    <w:p>
      <w:pPr>
        <w:pStyle w:val="para58"/>
        <w:ind w:firstLine="708"/>
        <w:spacing/>
        <w:jc w:val="center"/>
        <w:rPr>
          <w:b/>
          <w:sz w:val="28"/>
        </w:rPr>
      </w:pPr>
      <w:r>
        <w:rPr>
          <w:b/>
          <w:sz w:val="28"/>
        </w:rPr>
        <w:t>«Анжеро-Судженский городской округ»</w:t>
      </w:r>
    </w:p>
    <w:p>
      <w:pPr>
        <w:ind w:firstLine="720"/>
        <w:spacing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tbl>
      <w:tblPr>
        <w:tblStyle w:val="NormalTable"/>
        <w:name w:val="Таблица5"/>
        <w:tabOrder w:val="0"/>
        <w:jc w:val="left"/>
        <w:tblInd w:w="0" w:type="dxa"/>
        <w:tblW w:w="9975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530"/>
        <w:gridCol w:w="1409"/>
        <w:gridCol w:w="1"/>
        <w:gridCol w:w="705"/>
        <w:gridCol w:w="1832"/>
        <w:gridCol w:w="141"/>
        <w:gridCol w:w="1691"/>
        <w:gridCol w:w="2256"/>
        <w:gridCol w:w="1410"/>
      </w:tblGrid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№</w:t>
            </w:r>
          </w:p>
        </w:tc>
        <w:tc>
          <w:tcPr>
            <w:tcW w:w="1409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Местоположение участка</w:t>
            </w:r>
          </w:p>
        </w:tc>
        <w:tc>
          <w:tcPr>
            <w:tcW w:w="706" w:type="dxa"/>
            <w:gridSpan w:val="2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Площадь,</w:t>
            </w:r>
          </w:p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га</w:t>
            </w:r>
          </w:p>
        </w:tc>
        <w:tc>
          <w:tcPr>
            <w:tcW w:w="1832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Кадастровый номер (квартал)</w:t>
            </w:r>
          </w:p>
        </w:tc>
        <w:tc>
          <w:tcPr>
            <w:tcW w:w="1832" w:type="dxa"/>
            <w:gridSpan w:val="2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Приоритетные направления использования площади</w:t>
            </w:r>
          </w:p>
        </w:tc>
        <w:tc>
          <w:tcPr>
            <w:tcW w:w="2256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Наличие инфраструктуры</w:t>
            </w:r>
          </w:p>
        </w:tc>
        <w:tc>
          <w:tcPr>
            <w:tcW w:w="1410" w:type="dxa"/>
            <w:shd w:val="solid" w:color="9BBB59" tmshd="1677721856, 0, 5880731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18" w:space="0" w:color="000000" tmln="45, 20, 20, 0, 0"/>
            </w:tcBorders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 ресур. организации</w:t>
            </w:r>
          </w:p>
        </w:tc>
      </w:tr>
      <w:tr>
        <w:trPr>
          <w:tblHeader w:val="0"/>
          <w:cantSplit w:val="0"/>
          <w:trHeight w:val="269" w:hRule="atLeast"/>
        </w:trPr>
        <w:tc>
          <w:tcPr>
            <w:tcW w:w="9975" w:type="dxa"/>
            <w:gridSpan w:val="9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Площадки  под освоение в целях промышленного строительства.</w:t>
            </w:r>
          </w:p>
        </w:tc>
      </w:tr>
      <w:tr>
        <w:trPr>
          <w:tblHeader w:val="0"/>
          <w:cantSplit w:val="0"/>
          <w:trHeight w:val="521" w:hRule="atLeast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1</w:t>
            </w:r>
          </w:p>
        </w:tc>
        <w:tc>
          <w:tcPr>
            <w:tcW w:w="1409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Промышленная площадка ликвидированного кирпичного завода</w:t>
            </w:r>
          </w:p>
        </w:tc>
        <w:tc>
          <w:tcPr>
            <w:tcW w:w="706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2.331</w:t>
            </w:r>
            <w:r>
              <w:rPr>
                <w:sz w:val="18"/>
              </w:rPr>
            </w:r>
          </w:p>
        </w:tc>
        <w:tc>
          <w:tcPr>
            <w:tcW w:w="1973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42:20:0103020:2242</w:t>
            </w:r>
            <w:r>
              <w:rPr>
                <w:sz w:val="18"/>
              </w:rPr>
            </w:r>
          </w:p>
        </w:tc>
        <w:tc>
          <w:tcPr>
            <w:tcW w:w="1691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П1-производственная зона.</w:t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«Физкультурник» 35/6 Трансформаторная подстанция</w:t>
            </w:r>
          </w:p>
          <w:p>
            <w:pPr>
              <w:spacing/>
              <w:jc w:val="left"/>
              <w:rPr>
                <w:color w:val="984806"/>
                <w:sz w:val="18"/>
              </w:rPr>
            </w:pPr>
            <w:r>
              <w:rPr>
                <w:sz w:val="18"/>
              </w:rPr>
              <w:t>Транзитная линия водопровода Ø 200 мм</w:t>
            </w:r>
            <w:r>
              <w:rPr>
                <w:color w:val="984806"/>
                <w:sz w:val="18"/>
              </w:rPr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6"/>
              </w:rPr>
              <w:t>МРСК «Сибири» –«Кузбассэнерго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521" w:hRule="atLeast"/>
        </w:trPr>
        <w:tc>
          <w:tcPr>
            <w:tcW w:w="53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2</w:t>
            </w:r>
          </w:p>
        </w:tc>
        <w:tc>
          <w:tcPr>
            <w:tcW w:w="1409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Промышленная площадка ликвидированного завода ЖБИ</w:t>
            </w:r>
          </w:p>
        </w:tc>
        <w:tc>
          <w:tcPr>
            <w:tcW w:w="706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9,1</w:t>
            </w:r>
            <w:r>
              <w:rPr>
                <w:sz w:val="18"/>
              </w:rPr>
            </w:r>
          </w:p>
        </w:tc>
        <w:tc>
          <w:tcPr>
            <w:tcW w:w="1973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42:20:0103077:51</w:t>
            </w:r>
            <w:r>
              <w:rPr>
                <w:sz w:val="18"/>
              </w:rPr>
            </w:r>
          </w:p>
        </w:tc>
        <w:tc>
          <w:tcPr>
            <w:tcW w:w="1691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П1-производственная зона.</w:t>
            </w:r>
          </w:p>
        </w:tc>
        <w:tc>
          <w:tcPr>
            <w:tcW w:w="2256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«Сибирская» 35/6 2,0 км. Транзитные и магистральные ЛЭП в/в и н/в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Транзитная и магистральная линии водопровода Ø300мм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 xml:space="preserve">Напорный коллектор Ø300мм </w:t>
            </w:r>
          </w:p>
        </w:tc>
        <w:tc>
          <w:tcPr>
            <w:tcW w:w="141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6"/>
              </w:rPr>
              <w:t>МРСК «Сибири» –«Кузбассэнерго»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521" w:hRule="atLeast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3</w:t>
            </w:r>
          </w:p>
        </w:tc>
        <w:tc>
          <w:tcPr>
            <w:tcW w:w="1409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Промышленная площадка ликвидированного ш/у «Сибирское»</w:t>
            </w:r>
          </w:p>
        </w:tc>
        <w:tc>
          <w:tcPr>
            <w:tcW w:w="706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32,6</w:t>
            </w:r>
            <w:r>
              <w:rPr>
                <w:sz w:val="18"/>
              </w:rPr>
            </w:r>
          </w:p>
        </w:tc>
        <w:tc>
          <w:tcPr>
            <w:tcW w:w="1973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42:20:0000000:1207</w:t>
            </w:r>
            <w:r>
              <w:rPr>
                <w:sz w:val="18"/>
              </w:rPr>
            </w:r>
          </w:p>
        </w:tc>
        <w:tc>
          <w:tcPr>
            <w:tcW w:w="1691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П1-производственная зона.</w:t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 xml:space="preserve">ПС «Сибирская» 35/6 </w:t>
            </w:r>
          </w:p>
          <w:p>
            <w:pPr>
              <w:spacing/>
              <w:jc w:val="left"/>
              <w:rPr>
                <w:color w:val="984806"/>
                <w:sz w:val="18"/>
              </w:rPr>
            </w:pPr>
            <w:r>
              <w:rPr>
                <w:sz w:val="18"/>
              </w:rPr>
              <w:t>Транзитная магистральная линия водопровода Ø300.</w:t>
            </w:r>
            <w:r>
              <w:rPr>
                <w:color w:val="984806"/>
                <w:sz w:val="18"/>
              </w:rPr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6"/>
              </w:rPr>
              <w:t xml:space="preserve">ОАО «Кузбассэнерго» ВЭС – анклав 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521" w:hRule="atLeast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4</w:t>
            </w:r>
          </w:p>
        </w:tc>
        <w:tc>
          <w:tcPr>
            <w:tcW w:w="1409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Промышленная площадка ликвидированного промышленного предприятия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  <w:t>(ул. Горноспасательная)</w:t>
            </w:r>
          </w:p>
        </w:tc>
        <w:tc>
          <w:tcPr>
            <w:tcW w:w="706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tabs defTabSz="709">
                <w:tab w:val="center" w:pos="4677" w:leader="none"/>
                <w:tab w:val="right" w:pos="9355" w:leader="none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5,67</w:t>
            </w:r>
          </w:p>
          <w:p>
            <w:pPr>
              <w:tabs defTabSz="709">
                <w:tab w:val="center" w:pos="4677" w:leader="none"/>
                <w:tab w:val="right" w:pos="9355" w:leader="none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4,44</w:t>
            </w:r>
          </w:p>
          <w:p>
            <w:pPr>
              <w:rPr>
                <w:sz w:val="18"/>
              </w:rPr>
            </w:pPr>
            <w:r>
              <w:rPr>
                <w:rFonts w:ascii="Times New Roman" w:hAnsi="Times New Roman"/>
              </w:rPr>
              <w:t>3,33</w:t>
            </w:r>
            <w:r>
              <w:rPr>
                <w:sz w:val="18"/>
              </w:rPr>
            </w:r>
          </w:p>
        </w:tc>
        <w:tc>
          <w:tcPr>
            <w:tcW w:w="1973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/>
            <w:r>
              <w:t>42:20:0103020:781 42:20:0103033:15 42:20:0103019:231</w:t>
            </w:r>
          </w:p>
        </w:tc>
        <w:tc>
          <w:tcPr>
            <w:tcW w:w="1691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П1-производственная зона.</w:t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«Физкультурник» 35/6 Трансформаторная подстанция</w:t>
            </w:r>
          </w:p>
          <w:p>
            <w:pPr>
              <w:spacing/>
              <w:jc w:val="left"/>
              <w:rPr>
                <w:color w:val="ffffff"/>
                <w:sz w:val="18"/>
              </w:rPr>
            </w:pPr>
            <w:r>
              <w:rPr>
                <w:sz w:val="18"/>
              </w:rPr>
              <w:t>Транзитная линия водопровода Ø 100 мм</w:t>
            </w:r>
            <w:r>
              <w:rPr>
                <w:color w:val="ffffff"/>
                <w:sz w:val="18"/>
              </w:rPr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6"/>
              </w:rPr>
              <w:t>МРСК «Сибири» –«Кузбассэнерго» 1,5 км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152" w:hRule="atLeast"/>
        </w:trPr>
        <w:tc>
          <w:tcPr>
            <w:tcW w:w="9975" w:type="dxa"/>
            <w:gridSpan w:val="9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highlight w:val="yellow"/>
                <w:sz w:val="18"/>
              </w:rPr>
            </w:pPr>
            <w:r>
              <w:rPr>
                <w:b/>
                <w:sz w:val="18"/>
              </w:rPr>
              <w:t>Площадки  под освоение в целях жилищного строительства</w:t>
            </w:r>
            <w:r>
              <w:rPr>
                <w:highlight w:val="yellow"/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5</w:t>
            </w:r>
          </w:p>
        </w:tc>
        <w:tc>
          <w:tcPr>
            <w:tcW w:w="1409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Малоэтажная жилая застройка – квартал «Озерки»</w:t>
            </w:r>
          </w:p>
        </w:tc>
        <w:tc>
          <w:tcPr>
            <w:tcW w:w="706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6,8</w:t>
            </w:r>
          </w:p>
        </w:tc>
        <w:tc>
          <w:tcPr>
            <w:tcW w:w="1832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42:20:0103077:738</w:t>
            </w:r>
            <w:r>
              <w:rPr>
                <w:sz w:val="18"/>
              </w:rPr>
            </w:r>
          </w:p>
        </w:tc>
        <w:tc>
          <w:tcPr>
            <w:tcW w:w="1832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Ж2- зона жилой застройки малоэтажными жилыми домами.</w:t>
            </w:r>
          </w:p>
        </w:tc>
        <w:tc>
          <w:tcPr>
            <w:tcW w:w="2256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Магистральные ЛЭП н/в и в/в, ТП№212 на расстоянии 48 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Магистральная линия водопровода Ø 200 мм на расстоянии 100 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Транзитный напорный коллектор Ø 300 мм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Магистральная линия теплоснабжения Ø 125 мм на расстоянии 50 м</w:t>
            </w:r>
          </w:p>
        </w:tc>
        <w:tc>
          <w:tcPr>
            <w:tcW w:w="141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ЗАО «Сибэлектросервис» - анклав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6</w:t>
            </w:r>
          </w:p>
        </w:tc>
        <w:tc>
          <w:tcPr>
            <w:tcW w:w="1409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Среднеэтажная жилая застройка - квартал ул. Омская</w:t>
            </w:r>
          </w:p>
        </w:tc>
        <w:tc>
          <w:tcPr>
            <w:tcW w:w="706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8,93</w:t>
            </w:r>
          </w:p>
        </w:tc>
        <w:tc>
          <w:tcPr>
            <w:tcW w:w="1832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Отсутствует (на данный момент готовится межевание участка)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42:20:0102032</w:t>
            </w:r>
          </w:p>
        </w:tc>
        <w:tc>
          <w:tcPr>
            <w:tcW w:w="1832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Ж1- зона застройки индивидуальными жилыми домами</w:t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ТП 10/6кв. на расстоянии 94 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Транзитный водовод Ø 200 мм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 xml:space="preserve">На расстоянии 100 м 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Линия теплоснабжение Ø300 мм</w:t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ЗАО «Сибэлектросервис» - анклав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7</w:t>
            </w:r>
          </w:p>
        </w:tc>
        <w:tc>
          <w:tcPr>
            <w:tcW w:w="1409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Среднеэтажная жилая застройка - ул. С.Перовской</w:t>
            </w:r>
          </w:p>
        </w:tc>
        <w:tc>
          <w:tcPr>
            <w:tcW w:w="706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14,8</w:t>
            </w:r>
          </w:p>
        </w:tc>
        <w:tc>
          <w:tcPr>
            <w:tcW w:w="1832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Отсутствует (на данный момент готовится межевание участка)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42:20:0102057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42:20:0101067</w:t>
            </w:r>
          </w:p>
        </w:tc>
        <w:tc>
          <w:tcPr>
            <w:tcW w:w="1832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Ж1- зона застройки индивидуальными жилыми домами</w:t>
            </w:r>
          </w:p>
        </w:tc>
        <w:tc>
          <w:tcPr>
            <w:tcW w:w="2256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110/6 кВ «Судженская» Транзитные кабельные линии, РП 10 на расстоянии 313,0 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Транзитные линии водопровода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Магистральная линия канализации Ø 200 мм на расстоянии 10 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Транзитная линия теплоснабжения Ø 500 мм</w:t>
            </w:r>
          </w:p>
        </w:tc>
        <w:tc>
          <w:tcPr>
            <w:tcW w:w="141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ЗАО «Сибэлектросервис» - анклав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273" w:hRule="atLeast"/>
        </w:trPr>
        <w:tc>
          <w:tcPr>
            <w:tcW w:w="9975" w:type="dxa"/>
            <w:gridSpan w:val="9"/>
            <w:shd w:val="solid" w:color="76923C" tmshd="1677721856, 0, 3969654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highlight w:val="yellow"/>
                <w:sz w:val="18"/>
              </w:rPr>
            </w:pPr>
            <w:r>
              <w:rPr>
                <w:b/>
                <w:sz w:val="18"/>
              </w:rPr>
              <w:t>Площадки под освоение в целях строительства, обеспечивающего рекультивацию земель и снижение вредного влияния на природную среду</w:t>
            </w:r>
            <w:r>
              <w:rPr>
                <w:highlight w:val="yellow"/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8</w:t>
            </w:r>
          </w:p>
        </w:tc>
        <w:tc>
          <w:tcPr>
            <w:tcW w:w="1410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Озеро Мишиха</w:t>
            </w:r>
          </w:p>
        </w:tc>
        <w:tc>
          <w:tcPr>
            <w:tcW w:w="705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8,72</w:t>
            </w:r>
            <w:r>
              <w:rPr>
                <w:sz w:val="18"/>
              </w:rPr>
            </w:r>
          </w:p>
        </w:tc>
        <w:tc>
          <w:tcPr>
            <w:tcW w:w="1832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42:20:0101059:313</w:t>
            </w:r>
            <w:r>
              <w:rPr>
                <w:sz w:val="18"/>
              </w:rPr>
            </w:r>
          </w:p>
        </w:tc>
        <w:tc>
          <w:tcPr>
            <w:tcW w:w="1832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 w:line="276" w:lineRule="auto"/>
              <w:rPr>
                <w:sz w:val="18"/>
              </w:rPr>
            </w:pPr>
            <w:r>
              <w:rPr>
                <w:sz w:val="18"/>
              </w:rPr>
              <w:t>ПЛ- зона природного ландшафта, зона без определения хозяйственной деятельности</w:t>
            </w:r>
          </w:p>
          <w:p>
            <w:pPr>
              <w:spacing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</w:r>
          </w:p>
        </w:tc>
        <w:tc>
          <w:tcPr>
            <w:tcW w:w="2256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 xml:space="preserve">ТП №51 на расстоянии 700 м 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Магистральный водопровод Ø150мм на расстоянии 100 м</w:t>
            </w:r>
          </w:p>
          <w:p>
            <w:pPr>
              <w:spacing/>
              <w:jc w:val="left"/>
              <w:rPr>
                <w:b/>
                <w:color w:val="984806"/>
                <w:sz w:val="18"/>
              </w:rPr>
            </w:pPr>
            <w:r>
              <w:rPr>
                <w:sz w:val="18"/>
              </w:rPr>
              <w:t xml:space="preserve"> </w:t>
            </w:r>
            <w:r>
              <w:rPr>
                <w:b/>
                <w:color w:val="984806"/>
                <w:sz w:val="18"/>
              </w:rPr>
            </w:r>
          </w:p>
        </w:tc>
        <w:tc>
          <w:tcPr>
            <w:tcW w:w="141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ЗАО «Сибэлектросервис» - 2,5 км</w:t>
            </w:r>
          </w:p>
          <w:p>
            <w:pPr>
              <w:rPr>
                <w:sz w:val="16"/>
              </w:rPr>
            </w:pPr>
            <w:r>
              <w:rPr>
                <w:sz w:val="16"/>
              </w:rPr>
              <w:t xml:space="preserve">ТП №51 на расстоянии 700 м </w:t>
            </w:r>
          </w:p>
          <w:p>
            <w:pPr>
              <w:rPr>
                <w:sz w:val="18"/>
              </w:rPr>
            </w:pPr>
            <w:r>
              <w:rPr>
                <w:sz w:val="16"/>
              </w:rPr>
              <w:t>ООО «Кузбасская энергосетевая компания»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9</w:t>
            </w:r>
          </w:p>
        </w:tc>
        <w:tc>
          <w:tcPr>
            <w:tcW w:w="1410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Озеро Теплое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  <w:t>(центральная часть города)</w:t>
            </w:r>
          </w:p>
        </w:tc>
        <w:tc>
          <w:tcPr>
            <w:tcW w:w="705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0,4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0,036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0,048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0,7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0,09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832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42:20:0102039:105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42:20:0102039:106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42:20:0102039:107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42:20:0102039:108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42:20:0102039:111</w:t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</w:r>
          </w:p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832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sz w:val="18"/>
              </w:rPr>
            </w:pPr>
            <w:r>
              <w:rPr>
                <w:sz w:val="18"/>
              </w:rPr>
              <w:t>Р-зона рекреационного назначения</w:t>
            </w:r>
            <w:r>
              <w:rPr>
                <w:b/>
                <w:sz w:val="18"/>
              </w:rPr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ТП 159 мощность. 10/6 кв,на расстоянии 106м.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Водопровод на расстоянии 70м,Ø200мм.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Транзитный коллектор Ø500мм,на расстоянии 50м.</w:t>
            </w:r>
          </w:p>
          <w:p>
            <w:pPr>
              <w:spacing/>
              <w:jc w:val="left"/>
              <w:rPr>
                <w:b/>
                <w:color w:val="984806"/>
                <w:sz w:val="18"/>
              </w:rPr>
            </w:pPr>
            <w:r>
              <w:rPr>
                <w:sz w:val="18"/>
              </w:rPr>
              <w:t>Транзитный магистральный трубопровод Ø500мм на расстоянии 50м.</w:t>
            </w:r>
            <w:r>
              <w:rPr>
                <w:b/>
                <w:color w:val="984806"/>
                <w:sz w:val="18"/>
              </w:rPr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ЗАО «Сибэлектросервис» 2,5 км.</w:t>
            </w:r>
          </w:p>
          <w:p>
            <w:pPr>
              <w:rPr>
                <w:sz w:val="16"/>
              </w:rPr>
            </w:pPr>
            <w:r>
              <w:rPr>
                <w:sz w:val="16"/>
              </w:rPr>
              <w:t xml:space="preserve">ТП 159 на расстоянии 106 м </w:t>
            </w:r>
          </w:p>
          <w:p>
            <w:pPr>
              <w:rPr>
                <w:sz w:val="18"/>
              </w:rPr>
            </w:pPr>
            <w:r>
              <w:rPr>
                <w:sz w:val="16"/>
              </w:rPr>
              <w:t>ООО «Кузбасская энергостетевая компания»</w:t>
            </w: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10</w:t>
            </w:r>
          </w:p>
        </w:tc>
        <w:tc>
          <w:tcPr>
            <w:tcW w:w="1410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Озеро Победа</w:t>
            </w:r>
          </w:p>
        </w:tc>
        <w:tc>
          <w:tcPr>
            <w:tcW w:w="705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7,44</w:t>
            </w:r>
          </w:p>
        </w:tc>
        <w:tc>
          <w:tcPr>
            <w:tcW w:w="1832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42:20:0102042</w:t>
            </w:r>
          </w:p>
        </w:tc>
        <w:tc>
          <w:tcPr>
            <w:tcW w:w="1832" w:type="dxa"/>
            <w:gridSpan w:val="2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Р-зона рекреационного назначения</w:t>
            </w:r>
          </w:p>
        </w:tc>
        <w:tc>
          <w:tcPr>
            <w:tcW w:w="2256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t>ВЛ 0,4 кв, на расстоянии 165 м.</w:t>
            </w:r>
            <w:r>
              <w:rPr>
                <w:sz w:val="18"/>
              </w:rPr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Водоснабжение 165м,Ø150мм.</w:t>
            </w:r>
          </w:p>
          <w:p>
            <w:pPr>
              <w:spacing/>
              <w:jc w:val="left"/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</w:r>
          </w:p>
        </w:tc>
        <w:tc>
          <w:tcPr>
            <w:tcW w:w="1410" w:type="dxa"/>
            <w:shd w:val="solid" w:color="D9D9D9" tmshd="1677721856, 0, 14277081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ЗАО «Сибэлектросервис» - 2,5 км.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2427" w:hRule="atLeast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11</w:t>
            </w:r>
          </w:p>
        </w:tc>
        <w:tc>
          <w:tcPr>
            <w:tcW w:w="1410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 xml:space="preserve">Территория ликвидированных пионерских лагерей 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  <w:t>пгт Рудничный</w:t>
            </w:r>
          </w:p>
        </w:tc>
        <w:tc>
          <w:tcPr>
            <w:tcW w:w="705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175</w:t>
            </w:r>
          </w:p>
        </w:tc>
        <w:tc>
          <w:tcPr>
            <w:tcW w:w="1832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42:20:0401002</w:t>
            </w:r>
          </w:p>
        </w:tc>
        <w:tc>
          <w:tcPr>
            <w:tcW w:w="1832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b/>
                <w:sz w:val="18"/>
              </w:rPr>
            </w:pPr>
            <w:r>
              <w:rPr>
                <w:sz w:val="18"/>
              </w:rPr>
              <w:t>Р-зона рекреационного назначения</w:t>
            </w:r>
            <w:r>
              <w:rPr>
                <w:b/>
                <w:sz w:val="18"/>
              </w:rPr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ВЛ мощностью 6кв на расстоянии 110м.</w:t>
            </w:r>
          </w:p>
          <w:p>
            <w:pPr>
              <w:spacing/>
              <w:jc w:val="left"/>
              <w:rPr>
                <w:b/>
                <w:color w:val="ffffff"/>
                <w:sz w:val="18"/>
              </w:rPr>
            </w:pPr>
            <w:r>
              <w:rPr>
                <w:sz w:val="18"/>
              </w:rPr>
              <w:t>Водопровод на расстоянии 70м,Ø100мм.</w:t>
            </w:r>
            <w:r>
              <w:rPr>
                <w:b/>
                <w:color w:val="ffffff"/>
                <w:sz w:val="18"/>
              </w:rPr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ОАО «Кузнецкие ферросплавы» 3,5 км.</w:t>
            </w:r>
          </w:p>
          <w:p>
            <w:pPr>
              <w:rPr>
                <w:sz w:val="16"/>
              </w:rPr>
            </w:pPr>
            <w:r>
              <w:rPr>
                <w:sz w:val="16"/>
              </w:rPr>
              <w:t>ТП на расстоянии 110 м ООО «Кузбасская энергосетевая компания»</w:t>
            </w:r>
          </w:p>
          <w:p>
            <w:pPr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12</w:t>
            </w:r>
          </w:p>
        </w:tc>
        <w:tc>
          <w:tcPr>
            <w:tcW w:w="1410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Площадка тепличного комплекса: северная часть города</w:t>
            </w:r>
          </w:p>
        </w:tc>
        <w:tc>
          <w:tcPr>
            <w:tcW w:w="705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25,31</w:t>
            </w:r>
            <w:r>
              <w:rPr>
                <w:sz w:val="18"/>
              </w:rPr>
            </w:r>
          </w:p>
        </w:tc>
        <w:tc>
          <w:tcPr>
            <w:tcW w:w="1832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42:20:0101002:169</w:t>
            </w:r>
            <w:r>
              <w:rPr>
                <w:sz w:val="18"/>
              </w:rPr>
            </w:r>
          </w:p>
        </w:tc>
        <w:tc>
          <w:tcPr>
            <w:tcW w:w="1832" w:type="dxa"/>
            <w:gridSpan w:val="2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>СХ-2, зона занятая объектами с\х назначения</w:t>
            </w:r>
          </w:p>
        </w:tc>
        <w:tc>
          <w:tcPr>
            <w:tcW w:w="2256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«Мазутная 110/6» проектная мощность 32 Мвт, Магистральный водовод Ø100 мм, удаленность 3,0 км</w:t>
            </w:r>
          </w:p>
        </w:tc>
        <w:tc>
          <w:tcPr>
            <w:tcW w:w="1410" w:type="dxa"/>
            <w:shd w:val="solid" w:color="FFFFFF" tmshd="1677721856, 0, 16777215"/>
            <w:tcMar>
              <w:top w:w="0" w:type="dxa"/>
              <w:left w:w="108" w:type="dxa"/>
              <w:bottom w:w="0" w:type="dxa"/>
              <w:right w:w="108" w:type="dxa"/>
            </w:tcMar>
            <w:tcBorders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sz w:val="18"/>
              </w:rPr>
            </w:pPr>
            <w:r>
              <w:rPr>
                <w:sz w:val="18"/>
              </w:rPr>
              <w:t>ПС «Судженская 110/6» удаленность 2000 метров</w:t>
            </w:r>
          </w:p>
          <w:p>
            <w:pPr>
              <w:rPr>
                <w:sz w:val="16"/>
              </w:rPr>
            </w:pPr>
            <w:r>
              <w:rPr>
                <w:sz w:val="16"/>
              </w:rPr>
            </w:r>
          </w:p>
        </w:tc>
      </w:tr>
      <w:tr>
        <w:trPr>
          <w:tblHeader w:val="0"/>
          <w:cantSplit w:val="0"/>
          <w:trHeight w:val="0" w:hRule="auto"/>
        </w:trPr>
        <w:tc>
          <w:tcPr>
            <w:tcW w:w="530" w:type="dxa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b/>
                <w:color w:val="984806"/>
                <w:sz w:val="18"/>
              </w:rPr>
            </w:pPr>
            <w:r>
              <w:rPr>
                <w:b/>
                <w:color w:val="984806"/>
                <w:sz w:val="18"/>
              </w:rPr>
              <w:t>13</w:t>
            </w:r>
          </w:p>
        </w:tc>
        <w:tc>
          <w:tcPr>
            <w:tcW w:w="1410" w:type="dxa"/>
            <w:gridSpan w:val="2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rFonts w:eastAsia="Arial" w:cs="Arial"/>
                <w:sz w:val="18"/>
                <w:szCs w:val="18"/>
                <w:lang w:bidi="ru-ru"/>
              </w:rPr>
            </w:pPr>
            <w:r>
              <w:rPr>
                <w:rFonts w:eastAsia="Arial" w:cs="Arial"/>
                <w:sz w:val="18"/>
                <w:szCs w:val="18"/>
                <w:lang w:bidi="ru-ru"/>
              </w:rPr>
              <w:t>Тепличный комбинат (Ул. Чередниченко)</w:t>
            </w:r>
          </w:p>
        </w:tc>
        <w:tc>
          <w:tcPr>
            <w:tcW w:w="705" w:type="dxa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22,33</w:t>
            </w:r>
            <w:r>
              <w:rPr>
                <w:sz w:val="18"/>
              </w:rPr>
            </w:r>
          </w:p>
        </w:tc>
        <w:tc>
          <w:tcPr>
            <w:tcW w:w="1832" w:type="dxa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rFonts w:ascii="Times New Roman" w:hAnsi="Times New Roman"/>
              </w:rPr>
              <w:t>42:20:0101008:126</w:t>
            </w:r>
            <w:r>
              <w:rPr>
                <w:sz w:val="18"/>
              </w:rPr>
            </w:r>
          </w:p>
        </w:tc>
        <w:tc>
          <w:tcPr>
            <w:tcW w:w="1832" w:type="dxa"/>
            <w:gridSpan w:val="2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center"/>
              <w:rPr>
                <w:sz w:val="18"/>
              </w:rPr>
            </w:pPr>
            <w:r>
              <w:rPr>
                <w:sz w:val="18"/>
              </w:rPr>
              <w:t xml:space="preserve">СХ-2, зона занятая объектами с\х назначения </w:t>
            </w:r>
          </w:p>
        </w:tc>
        <w:tc>
          <w:tcPr>
            <w:tcW w:w="2256" w:type="dxa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ПС «Мазутная 110/6» проектная мощность 32 Мвт, удаленность 2 км</w:t>
            </w:r>
          </w:p>
          <w:p>
            <w:pPr>
              <w:spacing/>
              <w:jc w:val="left"/>
              <w:rPr>
                <w:sz w:val="18"/>
              </w:rPr>
            </w:pPr>
            <w:r>
              <w:rPr>
                <w:sz w:val="18"/>
              </w:rPr>
              <w:t>магистральный водовод Ø400 мм, удаленность 150 метров</w:t>
            </w:r>
          </w:p>
        </w:tc>
        <w:tc>
          <w:tcPr>
            <w:tcW w:w="1410" w:type="dxa"/>
            <w:shd w:val="solid" w:color="BFBFBF" tmshd="1677721856, 0, 12566463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double" w:sz="18" w:space="0" w:color="000000" tmln="15, 15, 15, 0, 0"/>
              <w:bottom w:val="double" w:sz="18" w:space="0" w:color="000000" tmln="15, 15, 15, 0, 0"/>
            </w:tcBorders>
            <w:tmTcPr id="1733124711" protected="0"/>
          </w:tcPr>
          <w:p>
            <w:pPr>
              <w:rPr>
                <w:sz w:val="16"/>
              </w:rPr>
            </w:pPr>
            <w:r>
              <w:rPr>
                <w:sz w:val="16"/>
              </w:rPr>
              <w:t>МРСК «Сибири» –«Кузбассэнерго»</w:t>
            </w:r>
          </w:p>
        </w:tc>
      </w:tr>
    </w:tbl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Инвестиционные проекты</w:t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территории Анжеро-Судженского городского округа реализуются следующие инвестиционные проекты:</w:t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tbl>
      <w:tblPr>
        <w:tblStyle w:val="NormalTable"/>
        <w:name w:val="Таблица6"/>
        <w:tabOrder w:val="0"/>
        <w:jc w:val="left"/>
        <w:tblInd w:w="0" w:type="dxa"/>
        <w:tblW w:w="10583" w:type="dxa"/>
        <w:pPr>
          <w:spacing/>
          <w:jc w:val="left"/>
        </w:pPr>
        <w:tblLook w:val="04A0" w:firstRow="1" w:lastRow="0" w:firstColumn="1" w:lastColumn="0" w:noHBand="0" w:noVBand="1"/>
      </w:tblPr>
      <w:tblGrid>
        <w:gridCol w:w="616"/>
        <w:gridCol w:w="3178"/>
        <w:gridCol w:w="2819"/>
        <w:gridCol w:w="1767"/>
        <w:gridCol w:w="2203"/>
      </w:tblGrid>
      <w:tr>
        <w:trPr>
          <w:tblHeader w:val="0"/>
          <w:cantSplit w:val="0"/>
          <w:trHeight w:val="1287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 п/п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Инвестиционный проект</w:t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Инициатор проекта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Количество планируемых рабочих мест, шт.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Объем инвестиций, млн. руб.</w:t>
            </w:r>
          </w:p>
        </w:tc>
      </w:tr>
      <w:tr>
        <w:trPr>
          <w:tblHeader w:val="0"/>
          <w:cantSplit w:val="0"/>
          <w:trHeight w:val="965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Установки депарафинизации дизельного топлива производительностью </w:t>
            </w:r>
          </w:p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до 2 600 тыс. т. в год;</w:t>
            </w:r>
          </w:p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Установки замедленного коксования производительностью </w:t>
            </w:r>
          </w:p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до 1340 тыс. т. в год</w:t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ЗАО «Нефтехимсервис»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500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84 017</w:t>
            </w:r>
          </w:p>
        </w:tc>
      </w:tr>
      <w:tr>
        <w:trPr>
          <w:tblHeader w:val="0"/>
          <w:cantSplit w:val="0"/>
          <w:trHeight w:val="1625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«Создание предприятия по производству широкоформатной фанеры мощностью 60 тыс. м3 в год»</w:t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ООО «Анжерский Фанерно-плитный Комбинат»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50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15</w:t>
            </w:r>
          </w:p>
        </w:tc>
      </w:tr>
      <w:tr>
        <w:trPr>
          <w:tblHeader w:val="0"/>
          <w:cantSplit w:val="0"/>
          <w:trHeight w:val="1625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«Создание Центра обработки данных»</w:t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ООО «ЦОД Алгоритм»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30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150</w:t>
            </w:r>
          </w:p>
        </w:tc>
      </w:tr>
      <w:tr>
        <w:trPr>
          <w:tblHeader w:val="0"/>
          <w:cantSplit w:val="0"/>
          <w:trHeight w:val="1625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4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Создание предприятия по производству среднетемпературного полукокса</w:t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ООО «Анжеро-Судженское ЭТК»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30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1 000</w:t>
            </w:r>
          </w:p>
        </w:tc>
      </w:tr>
      <w:tr>
        <w:trPr>
          <w:tblHeader w:val="0"/>
          <w:cantSplit w:val="0"/>
          <w:trHeight w:val="1625" w:hRule="atLeast"/>
        </w:trPr>
        <w:tc>
          <w:tcPr>
            <w:tcW w:w="616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5</w:t>
            </w:r>
          </w:p>
        </w:tc>
        <w:tc>
          <w:tcPr>
            <w:tcW w:w="3178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Style w:val="char1"/>
                <w:b/>
                <w:sz w:val="28"/>
              </w:rPr>
              <w:t>Создание предприятия по производству упакованных</w:t>
            </w:r>
            <w:r>
              <w:rPr>
                <w:rFonts w:ascii="Times New Roman" w:hAnsi="Times New Roman"/>
                <w:b/>
                <w:sz w:val="28"/>
              </w:rPr>
            </w:r>
          </w:p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Style w:val="char1"/>
                <w:b/>
                <w:sz w:val="28"/>
              </w:rPr>
              <w:t>питьевых вод</w:t>
            </w:r>
            <w:r>
              <w:rPr>
                <w:rFonts w:ascii="Times New Roman" w:hAnsi="Times New Roman"/>
                <w:b/>
                <w:sz w:val="28"/>
              </w:rPr>
            </w:r>
          </w:p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</w:r>
          </w:p>
        </w:tc>
        <w:tc>
          <w:tcPr>
            <w:tcW w:w="2819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ООО «Анжерочка»</w:t>
            </w:r>
          </w:p>
        </w:tc>
        <w:tc>
          <w:tcPr>
            <w:tcW w:w="1767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18</w:t>
            </w:r>
          </w:p>
        </w:tc>
        <w:tc>
          <w:tcPr>
            <w:tcW w:w="2203" w:type="dxa"/>
            <w:shd w:val="none"/>
            <w:tcMar>
              <w:top w:w="0" w:type="dxa"/>
              <w:left w:w="108" w:type="dxa"/>
              <w:bottom w:w="0" w:type="dxa"/>
              <w:right w:w="108" w:type="dxa"/>
            </w:tcMar>
            <w:tcBorders>
              <w:top w:val="single" w:sz="4" w:space="0" w:color="000000" tmln="10, 20, 20, 0, 0"/>
              <w:left w:val="single" w:sz="4" w:space="0" w:color="000000" tmln="10, 20, 20, 0, 0"/>
              <w:bottom w:val="single" w:sz="4" w:space="0" w:color="000000" tmln="10, 20, 20, 0, 0"/>
              <w:right w:val="single" w:sz="4" w:space="0" w:color="000000" tmln="10, 20, 20, 0, 0"/>
            </w:tcBorders>
            <w:tmTcPr id="1733124711" protected="0"/>
          </w:tcPr>
          <w:p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69</w:t>
            </w:r>
          </w:p>
        </w:tc>
      </w:tr>
    </w:tbl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pStyle w:val="para58"/>
        <w:ind w:firstLine="708"/>
        <w:spacing/>
        <w:jc w:val="center"/>
        <w:rPr>
          <w:b/>
          <w:sz w:val="28"/>
        </w:rPr>
      </w:pPr>
      <w:r>
        <w:rPr>
          <w:b/>
          <w:sz w:val="28"/>
        </w:rPr>
        <w:t>Добро пожаловать в Анжеро-Судженск!</w:t>
      </w:r>
    </w:p>
    <w:p>
      <w:pPr>
        <w:pStyle w:val="para58"/>
        <w:ind w:firstLine="70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</w:rPr>
      </w:pPr>
      <w:r>
        <w:rPr>
          <w:b/>
          <w:sz w:val="28"/>
        </w:rPr>
      </w:r>
    </w:p>
    <w:p>
      <w:pPr>
        <w:pStyle w:val="para58"/>
        <w:rPr>
          <w:b/>
          <w:sz w:val="28"/>
          <w:u w:color="auto" w:val="single"/>
        </w:rPr>
      </w:pPr>
      <w:r>
        <w:rPr>
          <w:b/>
          <w:sz w:val="28"/>
          <w:u w:color="auto" w:val="single"/>
        </w:rPr>
        <w:t>Контактная информация:</w:t>
      </w:r>
    </w:p>
    <w:p>
      <w:pPr>
        <w:spacing/>
        <w:jc w:val="right"/>
      </w:pPr>
      <w:r>
        <w:rPr>
          <w:u w:color="auto" w:val="single"/>
        </w:rPr>
        <w:t xml:space="preserve">      </w:t>
      </w:r>
      <w:r/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Администрация Анжеро-Судженского городского округа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652470, Россия г. Анжеро-Судженск Кемеровской обл., ул. Ленина, 6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Тел. 6-12-14.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Email: </w:t>
      </w:r>
      <w:hyperlink r:id="rId33" w:history="1">
        <w:r>
          <w:rPr>
            <w:rFonts w:ascii="Times New Roman" w:hAnsi="Times New Roman"/>
            <w:sz w:val="28"/>
          </w:rPr>
          <w:t>adm@anzhero.ru</w:t>
        </w:r>
      </w:hyperlink>
      <w:r>
        <w:rPr>
          <w:rFonts w:ascii="Times New Roman" w:hAnsi="Times New Roman"/>
          <w:sz w:val="28"/>
        </w:rPr>
        <w:t xml:space="preserve">, </w:t>
      </w:r>
    </w:p>
    <w:p>
      <w:pPr>
        <w:rPr>
          <w:rFonts w:ascii="Times New Roman" w:hAnsi="Times New Roman"/>
          <w:b/>
          <w:sz w:val="28"/>
          <w:u w:color="auto" w:val="single"/>
        </w:rPr>
      </w:pPr>
      <w:r>
        <w:rPr>
          <w:rFonts w:ascii="Times New Roman" w:hAnsi="Times New Roman"/>
          <w:b/>
          <w:sz w:val="28"/>
          <w:u w:color="auto" w:val="single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Инвестиционный уполномоченный </w:t>
      </w:r>
    </w:p>
    <w:p>
      <w:pPr>
        <w:spacing w:line="400" w:lineRule="atLeast"/>
        <w:keepNext/>
        <w:keepLines/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И.О. Заместителя главы городского округа по вопросам экономики, промышленности, потребительского рынка, связи и экологии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Чемякин Илья Владимирович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8(38453) 6-12-79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Email:</w:t>
      </w:r>
      <w:hyperlink r:id="rId34" w:history="1">
        <w:r>
          <w:rPr>
            <w:rFonts w:ascii="Times New Roman" w:hAnsi="Times New Roman"/>
            <w:sz w:val="28"/>
          </w:rPr>
          <w:t>upp@anzhero.ru</w:t>
        </w:r>
      </w:hyperlink>
      <w:r>
        <w:rPr>
          <w:rFonts w:ascii="Times New Roman" w:hAnsi="Times New Roman"/>
          <w:sz w:val="28"/>
        </w:rPr>
        <w:t xml:space="preserve">, 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Инвестиционный портал муниципального образования</w:t>
      </w:r>
    </w:p>
    <w:p>
      <w:pPr>
        <w:rPr>
          <w:rFonts w:ascii="Times New Roman" w:hAnsi="Times New Roman"/>
          <w:sz w:val="28"/>
        </w:rPr>
      </w:pPr>
      <w:hyperlink r:id="rId35" w:history="1">
        <w:r>
          <w:rPr>
            <w:rFonts w:ascii="Times New Roman" w:hAnsi="Times New Roman"/>
            <w:sz w:val="28"/>
          </w:rPr>
          <w:t>http://anzerkabeznalogov.ru/</w:t>
        </w:r>
      </w:hyperlink>
      <w:r>
        <w:rPr>
          <w:rFonts w:ascii="Times New Roman" w:hAnsi="Times New Roman"/>
          <w:sz w:val="28"/>
        </w:rPr>
        <w:t xml:space="preserve"> 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Интернет-сайт администрации муниципального образования</w:t>
      </w:r>
    </w:p>
    <w:p>
      <w:pPr>
        <w:rPr>
          <w:rFonts w:ascii="Times New Roman" w:hAnsi="Times New Roman"/>
          <w:sz w:val="28"/>
        </w:rPr>
      </w:pPr>
      <w:hyperlink r:id="rId36" w:history="1">
        <w:r>
          <w:rPr>
            <w:rFonts w:ascii="Times New Roman" w:hAnsi="Times New Roman"/>
            <w:sz w:val="28"/>
          </w:rPr>
          <w:t>https://www.anzhero.ru</w:t>
        </w:r>
      </w:hyperlink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</w:r>
    </w:p>
    <w:p>
      <w:pPr>
        <w:rPr>
          <w:rFonts w:ascii="Times New Roman" w:hAnsi="Times New Roman"/>
          <w:b/>
          <w:sz w:val="28"/>
          <w:u w:color="auto" w:val="single"/>
        </w:rPr>
      </w:pPr>
      <w:r>
        <w:rPr>
          <w:noProof/>
        </w:rPr>
        <w:drawing>
          <wp:anchor distT="0" distB="0" distL="114300" distR="114300" simplePos="0" relativeHeight="251658262" behindDoc="0" locked="0" layoutInCell="0" hidden="0" allowOverlap="1">
            <wp:simplePos x="0" y="0"/>
            <wp:positionH relativeFrom="column">
              <wp:posOffset>1478915</wp:posOffset>
            </wp:positionH>
            <wp:positionV relativeFrom="paragraph">
              <wp:posOffset>140335</wp:posOffset>
            </wp:positionV>
            <wp:extent cx="2535555" cy="2535555"/>
            <wp:effectExtent l="0" t="0" r="0" b="0"/>
            <wp:wrapTight wrapText="bothSides">
              <wp:wrapPolygon edited="0">
                <wp:start x="-974" y="438"/>
                <wp:lineTo x="-974" y="21470"/>
                <wp:lineTo x="22574" y="21470"/>
                <wp:lineTo x="22574" y="438"/>
                <wp:lineTo x="-974" y="438"/>
              </wp:wrapPolygon>
            </wp:wrapTight>
            <wp:docPr id="22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44"/>
                    <pic:cNvPicPr>
                      <a:extLst>
                        <a:ext uri="sm">
                          <sm:smNativeData xmlns:sm="sm" val="SMDATA_16_Z2JN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w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KAQAAAKMAAAAAAAAAAAAAAAAAAAIAAAAZCQAAAAAAAAIAAADdAAAAmQ8AAJkPAAATAAEAUQ0AAEMKAAAoAAAACAAAAAEAAAABAAAA"/>
                        </a:ext>
                      </a:extLst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u w:color="auto" w:val="single"/>
        </w:rPr>
      </w:r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lowerRoman"/>
        <w:numStart w:val="1"/>
        <w:numRestart w:val="continuous"/>
      </w:endnotePr>
      <w:type w:val="continuous"/>
      <w:pgSz w:h="16838" w:w="11906"/>
      <w:pgMar w:left="1080" w:top="765" w:right="850" w:bottom="993"/>
      <w:paperSrc w:first="0" w:other="0" a="0" b="0"/>
      <w:pgNumType w:fmt="decimal"/>
      <w:tmGutter w:val="3"/>
      <w:mirrorMargins w:val="0"/>
      <w:tmSection w:h="-2"/>
      <w:guidesAndGridMasterPages Id="0" numberOfVerticalGuides="0" numberOfHorizontalGuides="0"/>
      <w:guidesAndGridMasterPages Id="1" numberOfVerticalGuides="0" numberOfHorizontalGuides="0"/>
      <w:guidesAndGridMasterPages Id="2" numberOfVerticalGuides="0" numberOfHorizontalGuides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charset w:val="00"/>
    <w:family w:val="roman"/>
    <w:pitch w:val="default"/>
  </w:font>
  <w:font w:name="Courier New">
    <w:charset w:val="00"/>
    <w:family w:val="modern"/>
    <w:pitch w:val="default"/>
  </w:font>
  <w:font w:name="Arial">
    <w:charset w:val="00"/>
    <w:family w:val="swiss"/>
    <w:pitch w:val="default"/>
  </w:font>
  <w:font w:name="Cambria">
    <w:charset w:val="00"/>
    <w:family w:val="roman"/>
    <w:pitch w:val="default"/>
  </w:font>
  <w:font w:name="XO Thames">
    <w:charset w:val="00"/>
    <w:family w:val="roman"/>
    <w:pitch w:val="default"/>
  </w:font>
  <w:font w:name="Verdana">
    <w:charset w:val="00"/>
    <w:family w:val="swiss"/>
    <w:pitch w:val="default"/>
  </w:font>
  <w:font w:name="Tahoma">
    <w:charset w:val="00"/>
    <w:family w:val="swiss"/>
    <w:pitch w:val="default"/>
  </w:font>
  <w:font w:name="Calibri">
    <w:charset w:val="00"/>
    <w:family w:val="swiss"/>
    <w:pitch w:val="default"/>
  </w:font>
  <w:font w:name="PT Astra Serif">
    <w:charset w:val="00"/>
    <w:family w:val="roman"/>
    <w:pitch w:val="default"/>
  </w:font>
  <w:font w:name="Estrangelo Edessa"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p>
    <w:pPr>
      <w:pStyle w:val="para50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5" behindDoc="0" locked="0" layoutInCell="0" hidden="0" allowOverlap="1">
              <wp:simplePos x="0" y="0"/>
              <wp:positionH relativeFrom="margin">
                <wp:posOffset>0</wp:posOffset>
              </wp:positionH>
              <wp:positionV relativeFrom="paragraph">
                <wp:posOffset>635</wp:posOffset>
              </wp:positionV>
              <wp:extent cx="114300" cy="146050"/>
              <wp:effectExtent l="0" t="0" r="0" b="0"/>
              <wp:wrapSquare wrapText="bothSides"/>
              <wp:docPr id="1025" name="Текстовое поле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extLst>
                        <a:ext uri="sm">
                          <sm:smNativeData xmlns:sm="sm" val="SMDATA_14_Z2JNZ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4JgAA6DoAAAAC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AAAACQ4gAAQAAAAAAAAAAAAAAAAQAAAAAAAAABAAAAAgAAAAEAAAC0AAAA5gAAAAAAAAA4BAAAHT4AACgAAAAIAAAAAgAAAAIAAAA="/>
                        </a:ext>
                      </a:extLst>
                    </wps:cNvSpPr>
                    <wps:spPr>
                      <a:xfrm>
                        <a:off x="0" y="0"/>
                        <a:ext cx="114300" cy="1460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</a:ln>
                    </wps:spPr>
                    <wps:txbx>
                      <w:txbxContent>
                        <w:p>
                          <w:r>
                            <w:fldChar w:fldCharType="begin"/>
                            <w:instrText xml:space="preserve"> PAGE </w:instrText>
                            <w:fldChar w:fldCharType="separate"/>
                            <w:t>1</w:t>
                            <w:fldChar w:fldCharType="end"/>
                          </w:r>
                        </w:p>
                      </w:txbxContent>
                    </wps:txbx>
                    <wps:bodyPr spcFirstLastPara="1" vertOverflow="clip" horzOverflow="clip" wrap="none" lIns="0" tIns="0" rIns="0" bIns="0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path gradientshapeok="t" o:connecttype="rect"/>
            </v:shapetype>
            <v:shape id="Текстовое поле 2" o:spid="_x0000_s3073" type="#_x0000_t202" style="position:absolute;margin-left:0.00pt;margin-top:0.05pt;mso-position-horizontal-relative:margin;width:9.00pt;height:11.50pt;z-index:251659265;mso-wrap-distance-left:0.00pt;mso-wrap-distance-top:0.00pt;mso-wrap-distance-right:0.00pt;mso-wrap-distance-bottom:0.00pt;mso-wrap-style:none" stroked="f" filled="f" v:ext="SMDATA_14_Z2JNZ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4JgAA6DoAAAAC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AAAACQ4gAAQAAAAAAAAAAAAAAAAQAAAAAAAAABAAAAAgAAAAEAAAC0AAAA5gAAAAAAAAA4BAAAHT4AACgAAAAIAAAAAgAAAAIAAAA=" o:insetmode="custom">
              <w10:wrap type="square" anchorx="margin" anchory="text"/>
              <v:textbox style="mso-fit-shape-to-text:t" inset="0.0pt,0.0pt,0.0pt,0.0pt">
                <w:txbxContent>
                  <w:p>
                    <w:r>
                      <w:fldChar w:fldCharType="begin"/>
                      <w:instrText xml:space="preserve"> PAGE </w:instrText>
                      <w:fldChar w:fldCharType="separate"/>
                      <w:t>1</w:t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251659266" behindDoc="1" locked="0" layoutInCell="0" hidden="0" allowOverlap="1">
              <wp:simplePos x="0" y="0"/>
              <wp:positionH relativeFrom="page">
                <wp:posOffset>7018655</wp:posOffset>
              </wp:positionH>
              <wp:positionV relativeFrom="page">
                <wp:posOffset>8650605</wp:posOffset>
              </wp:positionV>
              <wp:extent cx="539750" cy="1902460"/>
              <wp:effectExtent l="6350" t="0" r="13335" b="12700"/>
              <wp:wrapNone/>
              <wp:docPr id="1026" name="Picture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extLst>
                        <a:ext uri="sm">
                          <sm:smNativeData xmlns:sm="sm" val="SMDATA_5_Z2JNZxMAAAAlAAAAAQAAAE0BAAAAkAAAAEgAAACQAAAASAAAAAAAAAAAAAAAAAAAABcAAAAUAAAAAAAAAAAAAAD/fwAA/38AAAAAAAAJAAAABAAAAAAAAAAhAAAAQAAAADwAAAAAAAAAkCAAACAAAAAAAAAAAAAAAAAAAAAtKwAAAAAAAAAAAAA3NQAAUgMAALQLAAAAAAAALSsAADc1AAAoAAAACAAAAAEAAAABAAAA"/>
                        </a:ext>
                      </a:extLst>
                    </wpg:cNvGrpSpPr>
                    <wpg:grpSpPr>
                      <a:xfrm>
                        <a:off x="0" y="0"/>
                        <a:ext cx="539750" cy="1902460"/>
                        <a:chOff x="0" y="0"/>
                        <a:chExt cx="539750" cy="1902460"/>
                      </a:xfrm>
                    </wpg:grpSpPr>
                    <wpg:grpSp>
                      <wpg:cNvPr id="1027" name="Группа 2"/>
                      <wpg:cNvGrpSpPr>
                        <a:extLst>
                          <a:ext uri="sm">
                            <sm:smNativeData xmlns:sm="sm" val="SMDATA_5_Z2JNZxMAAAAlAAAAAQAAAA0BAAAAkAAAAEgAAACQAAAASAAAAAAAAAAAAAAAAAAAABcAAAAUAAAAAAAAAAAAAAD/fwAA/38AAAACAAAJAAAABAAAAAAAAAAhAAAAQAAAADwAAAAAAAAAAIIAAAAAAAAAAAAAAAAAAAAAAAAAAAAAAAAAAAAAAAAAAAAASQMAAEUAAAAAAAAANysAAKVAAAAoAAAACAAAAAEAAAABAAAA"/>
                          </a:ext>
                        </a:extLst>
                      </wpg:cNvGrpSpPr>
                      <wpg:grpSpPr>
                        <a:xfrm>
                          <a:off x="6350" y="1858010"/>
                          <a:ext cx="534035" cy="43815"/>
                          <a:chOff x="0" y="0"/>
                          <a:chExt cx="534035" cy="43815"/>
                        </a:xfrm>
                      </wpg:grpSpPr>
                      <wps:wsp>
                        <wps:cNvPr id="1028" name="Прямоугольник 4"/>
                        <wps:cNvSpPr>
                          <a:extLst>
                            <a:ext uri="sm">
                              <sm:smNativeData xmlns:sm="sm" val="SMDATA_14_Z2JNZxMAAAAlAAAAZAAAAA0AAAAAkAAAAEgAAACQAAAASAAAAAAAAAAAAAAAAAAAAAEAAABQAAAAAAAAAAAA4D8AAAAAAADgPwAAAAAAAOA/AAAAAAAA4D8AAAAAAADgPwAAAAAAAOA/AAAAAAAA4D8AAAAAAADgPwAAAAAAAOA/AAAAAAAA4D8CAAAAjAAAAAEAAAAAAAAAX0l6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A8AQAARQAAAAAAAAA3KwAApUAAACgAAAAIAAAAAQAAAAEAAAA="/>
                            </a:ext>
                          </a:extLst>
                        </wps:cNvSpPr>
                        <wps:spPr>
                          <a:xfrm rot="10800000">
                            <a:off x="0" y="0"/>
                            <a:ext cx="200660" cy="43815"/>
                          </a:xfrm>
                          <a:prstGeom prst="rect">
                            <a:avLst/>
                          </a:prstGeom>
                          <a:solidFill>
                            <a:srgbClr val="5F497A"/>
                          </a:solidFill>
                          <a:ln w="12700">
                            <a:solidFill>
                              <a:srgbClr val="5F497A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029" name="Полилиния: фигура 5"/>
                        <wps:cNvSpPr>
                          <a:extLst>
                            <a:ext uri="sm">
                              <sm:smNativeData xmlns:sm="sm" val="SMDATA_14_Z2JNZ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AMAgAAAgAAAAAAAAB0LAAA6UAAACgAAAAIAAAAAQAAAAEAAAA="/>
                            </a:ext>
                          </a:extLst>
                        </wps:cNvSpPr>
                        <wps:spPr>
                          <a:xfrm rot="10800000" flipH="1">
                            <a:off x="201295" y="43180"/>
                            <a:ext cx="332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32740" b="1270"/>
                            <a:pathLst>
                              <a:path w="332740" h="1270">
                                <a:moveTo>
                                  <a:pt x="0" y="0"/>
                                </a:moveTo>
                                <a:lnTo>
                                  <a:pt x="33274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F497A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grpSp>
                    <wps:wsp>
                      <wps:cNvPr id="1030" name="Прямоугольник 7"/>
                      <wps:cNvSpPr>
                        <a:extLst>
                          <a:ext uri="sm">
                            <sm:smNativeData xmlns:sm="sm" val="SMDATA_14_Z2JNZxMAAAAlAAAAZAAAAA0AAAAAAAAAAAAAAAAAAAAAAAAAAAAAAAACAAAAAAAAAAEAAABQAAAAAAAAAAAA4D8AAAAAAADgPwAAAAAAAOA/AAAAAAAA4D8AAAAAAADgPwAAAAAAAOA/AAAAAAAA4D8AAAAAAADgPwAAAAAAAOA/AAAAAAAA4D8CAAAAjAAAAAE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BmAgAA9AoAAAAAAAAtKwAANzUAACgAAAAIAAAAAQAAAAEAAAA="/>
                          </a:ext>
                        </a:extLst>
                      </wps:cNvSpPr>
                      <wps:spPr>
                        <a:xfrm flipH="1">
                          <a:off x="0" y="0"/>
                          <a:ext cx="389890" cy="178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para23"/>
                              <w:spacing/>
                              <w:jc w:val="righ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anchor="b" upright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2.65pt;margin-top:681.15pt;mso-position-horizontal-relative:page;mso-position-vertical-relative:page;width:42.50pt;height:149.80pt;z-index:251659266;mso-wrap-distance-left:0.00pt;mso-wrap-distance-right:0.00pt" coordorigin="11053,13623" coordsize="850,2996">
              <v:group style="position:absolute;left:11063;top:16549;width:841;height:69" coordorigin="11063,16549" coordsize="841,69">
                <v:rect id="Прямоугольник 4" o:spid="_x0000_s3074" style="position:absolute;left:11063;top:16549;width:316;height:69;rotation:180.0" strokeweight="1.00pt" strokecolor="#5f497a" fillcolor="#5f497a" v:ext="SMDATA_13_Z2JNZxMAAAAlAAAAZAAAAA0AAAAAkAAAAEgAAACQAAAASAAAAAAAAAAAAAAAAAAAAAEAAABQAAAAAAAAAAAA4D8AAAAAAADgPwAAAAAAAOA/AAAAAAAA4D8AAAAAAADgPwAAAAAAAOA/AAAAAAAA4D8AAAAAAADgPwAAAAAAAOA/AAAAAAAA4D8CAAAAjAAAAAEAAAAAAAAAX0l6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>
                  <v:fill color2="#000000" type="solid" angle="90"/>
                </v:rect>
                <v:shape id="Полилиния: фигура 5" o:spid="_x0000_s3075" style="position:absolute;left:11380;top:16617;width:524;height:2;rotation:180.0;flip:x" coordsize="524,2" path="m0,0l524,0e" strokeweight="1.00pt" strokecolor="#5f497a" filled="f" v:ext="SMDATA_13_Z2JNZ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>
                  <v:path arrowok="t"/>
                </v:shape>
              </v:group>
              <v:rect id="Прямоугольник 7" o:spid="_x0000_s3076" style="position:absolute;left:11053;top:13623;width:614;height:2804;rotation:360.0;flip:x" stroked="f" fillcolor="#ffffff" v:ext="SMDATA_13_Z2JNZxMAAAAlAAAAZAAAAA0AAAAAAAAAAAAAAAAAAAAAAAAAAAAAAAACAAAAAAAAAAEAAABQAAAAAAAAAAAA4D8AAAAAAADgPwAAAAAAAOA/AAAAAAAA4D8AAAAAAADgPwAAAAAAAOA/AAAAAAAA4D8AAAAAAADgPwAAAAAAAOA/AAAAAAAA4D8CAAAAjAAAAAE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 o:insetmode="custom">
                <v:fill color2="#000000" type="solid" angle="90"/>
                <v:textbox style="v-text-anchor:bottom" inset="0.0pt,0.0pt,0.0pt,0.0pt">
                  <w:txbxContent>
                    <w:p>
                      <w:pPr>
                        <w:pStyle w:val="para23"/>
                        <w:spacing/>
                        <w:jc w:val="righ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</w:r>
                    </w:p>
                  </w:txbxContent>
                </v:textbox>
              </v:rect>
              <w10:wrap type="none"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71" behindDoc="0" locked="0" layoutInCell="0" hidden="0" allowOverlap="1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41605" cy="146050"/>
              <wp:effectExtent l="0" t="0" r="0" b="0"/>
              <wp:wrapSquare wrapText="bothSides"/>
              <wp:docPr id="1031" name="Pictur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extLst>
                        <a:ext uri="sm">
                          <sm:smNativeData xmlns:sm="sm" val="SMDATA_14_Z2JNZxMAAAAlAAAAZAAAAA0AAAAAAAAAAAAAAAAAAAAAAAAAAAAAAAAAAAAAAAAAAAEAAABQAAAAAAAAAAAA4D8AAAAAAADgPwAAAAAAAOA/AAAAAAAA4D8AAAAAAADgPwAAAAAAAOA/AAAAAAAA4D8AAAAAAADgPwAAAAAAAOA/AAAAAAAA4D8CAAAAjAAAAAEAAAAAAAAA////AAAAAABk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CQogAAAAAAAAAAAAADAAAAAQAAAAAAAAAAAAAAAgAAAAEAAADfAAAA5gAAAAAAAABRKgAAHT4AACgAAAAIAAAAAQAAAAMAAAA="/>
                        </a:ext>
                      </a:extLst>
                    </wps:cNvSpPr>
                    <wps:spPr>
                      <a:xfrm>
                        <a:off x="0" y="0"/>
                        <a:ext cx="141605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>
                          <w:r/>
                        </w:p>
                      </w:txbxContent>
                    </wps:txbx>
                    <wps:bodyPr spcFirstLastPara="1" vertOverflow="clip" horzOverflow="clip" lIns="0" tIns="0" rIns="0" bIns="0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Picture 4" o:spid="_x0000_s3077" style="position:absolute;mso-position-horizontal:right;margin-top:0.05pt;mso-position-horizontal-relative:margin;width:11.15pt;height:11.50pt;z-index:251659271;mso-wrap-distance-left:0.00pt;mso-wrap-distance-top:0.00pt;mso-wrap-distance-right:0.00pt;mso-wrap-distance-bottom:0.00pt;mso-wrap-style:square" stroked="f" fillcolor="#ffffff" v:ext="SMDATA_14_Z2JNZxMAAAAlAAAAZAAAAA0AAAAAAAAAAAAAAAAAAAAAAAAAAAAAAAAAAAAAAAAAAAEAAABQAAAAAAAAAAAA4D8AAAAAAADgPwAAAAAAAOA/AAAAAAAA4D8AAAAAAADgPwAAAAAAAOA/AAAAAAAA4D8AAAAAAADgPwAAAAAAAOA/AAAAAAAA4D8CAAAAjAAAAAEAAAAAAAAA////AAAAAABk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CQogAAAAAAAAAAAAADAAAAAQAAAAAAAAAAAAAAAgAAAAEAAADfAAAA5gAAAAAAAABRKgAAHT4AACgAAAAIAAAAAQAAAAMAAAA=" o:insetmode="custom">
              <v:fill color2="#000000" type="solid" opacity="0f" angle="90"/>
              <w10:wrap type="square" anchorx="margin" anchory="text"/>
              <v:textbox style="mso-fit-shape-to-text:t" inset="0.0pt,0.0pt,0.0pt,0.0pt">
                <w:txbxContent>
                  <w:p>
                    <w:r/>
                  </w:p>
                </w:txbxContent>
              </v:textbox>
            </v:rect>
          </w:pict>
        </mc:Fallback>
      </mc:AlternateContent>
    </w:r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p>
    <w:pPr>
      <w:pStyle w:val="para50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72" behindDoc="0" locked="0" layoutInCell="0" hidden="0" allowOverlap="1">
              <wp:simplePos x="0" y="0"/>
              <wp:positionH relativeFrom="margin">
                <wp:posOffset>0</wp:posOffset>
              </wp:positionH>
              <wp:positionV relativeFrom="paragraph">
                <wp:posOffset>635</wp:posOffset>
              </wp:positionV>
              <wp:extent cx="140970" cy="146050"/>
              <wp:effectExtent l="0" t="0" r="0" b="0"/>
              <wp:wrapSquare wrapText="bothSides"/>
              <wp:docPr id="1032" name="Текстовое 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extLst>
                        <a:ext uri="sm">
                          <sm:smNativeData xmlns:sm="sm" val="SMDATA_14_Z2JNZ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4JgAA6DoAAAAC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AAAACQ4gAAQAAAAAAAAAAAAAAAAQAAAAAAAAABAAAAAgAAAAEAAADeAAAA5gAAAAAAAQA4BAAAHT4AACgAAAAIAAAAAgAAAAIAAAA="/>
                        </a:ext>
                      </a:extLst>
                    </wps:cNvSpPr>
                    <wps:spPr>
                      <a:xfrm>
                        <a:off x="0" y="0"/>
                        <a:ext cx="140970" cy="14605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</a:ln>
                    </wps:spPr>
                    <wps:txbx>
                      <w:txbxContent>
                        <w:p>
                          <w:r>
                            <w:fldChar w:fldCharType="begin"/>
                            <w:instrText xml:space="preserve"> PAGE </w:instrText>
                            <w:fldChar w:fldCharType="separate"/>
                            <w:t>17</w:t>
                            <w:fldChar w:fldCharType="end"/>
                          </w:r>
                        </w:p>
                      </w:txbxContent>
                    </wps:txbx>
                    <wps:bodyPr spcFirstLastPara="1" vertOverflow="clip" horzOverflow="clip" wrap="none" lIns="0" tIns="0" rIns="0" bIns="0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path gradientshapeok="t" o:connecttype="rect"/>
            </v:shapetype>
            <v:shape id="Текстовое поле 1" o:spid="_x0000_s5121" type="#_x0000_t202" style="position:absolute;margin-left:0.00pt;margin-top:0.05pt;mso-position-horizontal-relative:margin;width:11.10pt;height:11.50pt;z-index:251659272;mso-wrap-distance-left:0.00pt;mso-wrap-distance-top:0.00pt;mso-wrap-distance-right:0.00pt;mso-wrap-distance-bottom:0.00pt;mso-wrap-style:none" stroked="f" filled="f" v:ext="SMDATA_14_Z2JNZ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4JgAA6DoAAAAC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AAAACQ4gAAQAAAAAAAAAAAAAAAAQAAAAAAAAABAAAAAgAAAAEAAADeAAAA5gAAAAAAAQA4BAAAHT4AACgAAAAIAAAAAgAAAAIAAAA=" o:insetmode="custom">
              <w10:wrap type="square" anchorx="margin" anchory="text"/>
              <v:textbox style="mso-fit-shape-to-text:t" inset="0.0pt,0.0pt,0.0pt,0.0pt">
                <w:txbxContent>
                  <w:p>
                    <w:r>
                      <w:fldChar w:fldCharType="begin"/>
                      <w:instrText xml:space="preserve"> PAGE </w:instrText>
                      <w:fldChar w:fldCharType="separate"/>
                      <w:t>17</w:t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251659273" behindDoc="1" locked="0" layoutInCell="0" hidden="0" allowOverlap="1">
              <wp:simplePos x="0" y="0"/>
              <wp:positionH relativeFrom="page">
                <wp:posOffset>7018655</wp:posOffset>
              </wp:positionH>
              <wp:positionV relativeFrom="page">
                <wp:posOffset>8650605</wp:posOffset>
              </wp:positionV>
              <wp:extent cx="539750" cy="1902460"/>
              <wp:effectExtent l="6350" t="0" r="13335" b="12700"/>
              <wp:wrapNone/>
              <wp:docPr id="1033" name="Picture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extLst>
                        <a:ext uri="sm">
                          <sm:smNativeData xmlns:sm="sm" val="SMDATA_5_Z2JNZxMAAAAlAAAAAQAAAA0BAAAAkAAAAEgAAACQAAAASAAAAAAAAAAAAAAAAAAAABcAAAAUAAAAAAAAAAAAAAD/fwAA/38AAAAAAAAJAAAABAAAAAAAAAAhAAAAQAAAADwAAAAAAAAAkCAAACAAAAAAAAAAAAAAAAAAAAAtKwAAAAAAAAAAAAA3NQAAUgMAALQLAAAAAAEALSsAADc1AAAoAAAACAAAAAEAAAABAAAA"/>
                        </a:ext>
                      </a:extLst>
                    </wpg:cNvGrpSpPr>
                    <wpg:grpSpPr>
                      <a:xfrm>
                        <a:off x="0" y="0"/>
                        <a:ext cx="539750" cy="1902460"/>
                        <a:chOff x="0" y="0"/>
                        <a:chExt cx="539750" cy="1902460"/>
                      </a:xfrm>
                    </wpg:grpSpPr>
                    <wpg:grpSp>
                      <wpg:cNvPr id="1034" name="Группа 14"/>
                      <wpg:cNvGrpSpPr>
                        <a:extLst>
                          <a:ext uri="sm">
                            <sm:smNativeData xmlns:sm="sm" val="SMDATA_5_Z2JNZxMAAAAlAAAAAQAAAA0BAAAAkAAAAEgAAACQAAAASAAAAAAAAAAAAAAAAAAAABcAAAAUAAAAAAAAAAAAAAD/fwAA/38AAAACAAAJAAAABAAAAAAAAAAhAAAAQAAAADwAAAAAAAAAAIIAAAAAAAAAAAAAAAAAAAAAAAAAAAAAAAAAAAAAAAAAAAAASQMAAEUAAAAAAAAANysAAKVAAAAoAAAACAAAAAEAAAABAAAA"/>
                          </a:ext>
                        </a:extLst>
                      </wpg:cNvGrpSpPr>
                      <wpg:grpSpPr>
                        <a:xfrm>
                          <a:off x="6350" y="1858010"/>
                          <a:ext cx="534035" cy="43815"/>
                          <a:chOff x="0" y="0"/>
                          <a:chExt cx="534035" cy="43815"/>
                        </a:xfrm>
                      </wpg:grpSpPr>
                      <wps:wsp>
                        <wps:cNvPr id="1035" name="Прямоугольник 17"/>
                        <wps:cNvSpPr>
                          <a:extLst>
                            <a:ext uri="sm">
                              <sm:smNativeData xmlns:sm="sm" val="SMDATA_14_Z2JNZxMAAAAlAAAAZAAAAA0AAAAAkAAAAEgAAACQAAAASAAAAAAAAAAAAAAAAAAAAAEAAABQAAAAAAAAAAAA4D8AAAAAAADgPwAAAAAAAOA/AAAAAAAA4D8AAAAAAADgPwAAAAAAAOA/AAAAAAAA4D8AAAAAAADgPwAAAAAAAOA/AAAAAAAA4D8CAAAAjAAAAAEAAAAAAAAAX0l6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A8AQAARQAAAAAAAAA3KwAApUAAACgAAAAIAAAAAQAAAAEAAAA="/>
                            </a:ext>
                          </a:extLst>
                        </wps:cNvSpPr>
                        <wps:spPr>
                          <a:xfrm rot="10800000">
                            <a:off x="0" y="0"/>
                            <a:ext cx="200660" cy="43815"/>
                          </a:xfrm>
                          <a:prstGeom prst="rect">
                            <a:avLst/>
                          </a:prstGeom>
                          <a:solidFill>
                            <a:srgbClr val="5F497A"/>
                          </a:solidFill>
                          <a:ln w="12700">
                            <a:solidFill>
                              <a:srgbClr val="5F497A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036" name="Полилиния: фигура 19"/>
                        <wps:cNvSpPr>
                          <a:extLst>
                            <a:ext uri="sm">
                              <sm:smNativeData xmlns:sm="sm" val="SMDATA_14_Z2JNZ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AMAgAAAgAAAAAAAAB0LAAA6UAAACgAAAAIAAAAAQAAAAEAAAA="/>
                            </a:ext>
                          </a:extLst>
                        </wps:cNvSpPr>
                        <wps:spPr>
                          <a:xfrm rot="10800000" flipH="1">
                            <a:off x="201295" y="43180"/>
                            <a:ext cx="332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32740" b="1270"/>
                            <a:pathLst>
                              <a:path w="332740" h="1270">
                                <a:moveTo>
                                  <a:pt x="0" y="0"/>
                                </a:moveTo>
                                <a:lnTo>
                                  <a:pt x="33274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F497A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grpSp>
                    <wps:wsp>
                      <wps:cNvPr id="1037" name="Прямоугольник 20"/>
                      <wps:cNvSpPr>
                        <a:extLst>
                          <a:ext uri="sm">
                            <sm:smNativeData xmlns:sm="sm" val="SMDATA_14_Z2JNZxMAAAAlAAAAZAAAAA0AAAAAAAAAAAAAAAAAAAAAAAAAAAAAAAACAAAAAAAAAAEAAABQAAAAAAAAAAAA4D8AAAAAAADgPwAAAAAAAOA/AAAAAAAA4D8AAAAAAADgPwAAAAAAAOA/AAAAAAAA4D8AAAAAAADgPwAAAAAAAOA/AAAAAAAA4D8CAAAAjAAAAAE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AAggAAAAAAAAAAAAAAAAAAAAAAAAAAAAAAAAAAAAAAAAAAAABmAgAA9AoAAAAAAAAtKwAANzUAACgAAAAIAAAAAQAAAAEAAAA="/>
                          </a:ext>
                        </a:extLst>
                      </wps:cNvSpPr>
                      <wps:spPr>
                        <a:xfrm flipH="1">
                          <a:off x="0" y="0"/>
                          <a:ext cx="389890" cy="178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para23"/>
                              <w:spacing/>
                              <w:jc w:val="righ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anchor="b" upright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2.65pt;margin-top:681.15pt;mso-position-horizontal-relative:page;mso-position-vertical-relative:page;width:42.50pt;height:149.80pt;z-index:251659273;mso-wrap-distance-left:0.00pt;mso-wrap-distance-right:0.00pt" coordorigin="11053,13623" coordsize="850,2996">
              <v:group style="position:absolute;left:11063;top:16549;width:841;height:69" coordorigin="11063,16549" coordsize="841,69">
                <v:rect id="Прямоугольник 17" o:spid="_x0000_s5122" style="position:absolute;left:11063;top:16549;width:316;height:69;rotation:180.0" strokeweight="1.00pt" strokecolor="#5f497a" fillcolor="#5f497a" v:ext="SMDATA_13_Z2JNZxMAAAAlAAAAZAAAAA0AAAAAkAAAAEgAAACQAAAASAAAAAAAAAAAAAAAAAAAAAEAAABQAAAAAAAAAAAA4D8AAAAAAADgPwAAAAAAAOA/AAAAAAAA4D8AAAAAAADgPwAAAAAAAOA/AAAAAAAA4D8AAAAAAADgPwAAAAAAAOA/AAAAAAAA4D8CAAAAjAAAAAEAAAAAAAAAX0l6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>
                  <v:fill color2="#000000" type="solid" angle="90"/>
                </v:rect>
                <v:shape id="Полилиния: фигура 19" o:spid="_x0000_s5123" style="position:absolute;left:11380;top:16617;width:524;height:2;rotation:180.0;flip:x" coordsize="524,2" path="m0,0l524,0e" strokeweight="1.00pt" strokecolor="#5f497a" filled="f" v:ext="SMDATA_13_Z2JNZ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F9Jeg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>
                  <v:path arrowok="t"/>
                </v:shape>
              </v:group>
              <v:rect id="Прямоугольник 20" o:spid="_x0000_s5124" style="position:absolute;left:11053;top:13623;width:614;height:2804;rotation:360.0;flip:x" stroked="f" fillcolor="#ffffff" v:ext="SMDATA_13_Z2JNZxMAAAAlAAAAZAAAAA0AAAAAAAAAAAAAAAAAAAAAAAAAAAAAAAACAAAAAAAAAAEAAABQAAAAAAAAAAAA4D8AAAAAAADgPwAAAAAAAOA/AAAAAAAA4D8AAAAAAADgPwAAAAAAAOA/AAAAAAAA4D8AAAAAAADgPwAAAAAAAOA/AAAAAAAA4D8CAAAAjAAAAAEAAAAAAAAA////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gAAAAIAAAAAQAAAAEAAAA=" o:insetmode="custom">
                <v:fill color2="#000000" type="solid" angle="90"/>
                <v:textbox style="v-text-anchor:bottom" inset="0.0pt,0.0pt,0.0pt,0.0pt">
                  <w:txbxContent>
                    <w:p>
                      <w:pPr>
                        <w:pStyle w:val="para23"/>
                        <w:spacing/>
                        <w:jc w:val="righ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</w:r>
                    </w:p>
                  </w:txbxContent>
                </v:textbox>
              </v:rect>
              <w10:wrap type="none"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78" behindDoc="0" locked="0" layoutInCell="0" hidden="0" allowOverlap="1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41605" cy="146050"/>
              <wp:effectExtent l="0" t="0" r="0" b="0"/>
              <wp:wrapSquare wrapText="bothSides"/>
              <wp:docPr id="1038" name="Pictur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extLst>
                        <a:ext uri="sm">
                          <sm:smNativeData xmlns:sm="sm" val="SMDATA_14_Z2JNZxMAAAAlAAAAZAAAAA0AAAAAAAAAAAAAAAAAAAAAAAAAAAAAAAAAAAAAAAAAAAEAAABQAAAAAAAAAAAA4D8AAAAAAADgPwAAAAAAAOA/AAAAAAAA4D8AAAAAAADgPwAAAAAAAOA/AAAAAAAA4D8AAAAAAADgPwAAAAAAAOA/AAAAAAAA4D8CAAAAjAAAAAEAAAAAAAAA////AAAAAABk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CQogAAAAAAAAAAAAADAAAAAQAAAAAAAAAAAAAAAgAAAAEAAADfAAAA5gAAAAAAAQBRKgAAHT4AACgAAAAIAAAAAQAAAAMAAAA="/>
                        </a:ext>
                      </a:extLst>
                    </wps:cNvSpPr>
                    <wps:spPr>
                      <a:xfrm>
                        <a:off x="0" y="0"/>
                        <a:ext cx="141605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>
                          <w:r/>
                        </w:p>
                      </w:txbxContent>
                    </wps:txbx>
                    <wps:bodyPr spcFirstLastPara="1" vertOverflow="clip" horzOverflow="clip" lIns="0" tIns="0" rIns="0" bIns="0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Picture 2" o:spid="_x0000_s5125" style="position:absolute;mso-position-horizontal:right;margin-top:0.05pt;mso-position-horizontal-relative:margin;width:11.15pt;height:11.50pt;z-index:251659278;mso-wrap-distance-left:0.00pt;mso-wrap-distance-top:0.00pt;mso-wrap-distance-right:0.00pt;mso-wrap-distance-bottom:0.00pt;mso-wrap-style:square" stroked="f" fillcolor="#ffffff" v:ext="SMDATA_14_Z2JNZxMAAAAlAAAAZAAAAA0AAAAAAAAAAAAAAAAAAAAAAAAAAAAAAAAAAAAAAAAAAAEAAABQAAAAAAAAAAAA4D8AAAAAAADgPwAAAAAAAOA/AAAAAAAA4D8AAAAAAADgPwAAAAAAAOA/AAAAAAAA4D8AAAAAAADgPwAAAAAAAOA/AAAAAAAA4D8CAAAAjAAAAAEAAAAAAAAA////AAAAAABk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CAAAJAAAABAAAAAAAAAAeAAAAaAAAAAAAAAAAAAAAAAAAAAAAAAAAAAAAECcAABAnAAAAAAAAAAAAAAAAAAAAAAAAAAAAAAAAAAAAAAAAAAAAABQAAAAAAAAAwMD/AAAAAABkAAAAMgAAAAAAAABkAAAAAAAAAH9/fwAKAAAAIgAAABgAAAAAAAAAAAAAAAAAAAAAAAAAAAAAAAAAAAAkAAAAJAAAAAAAAAAHAAAAAAAAAAAAAAAAAAAAAAAAAAAAAAAAAAAAAAAAACUAAABYAAAAAAAAAAAAAAAAAAAAAAAAAAAAAAAAAAAAAAAAAAAAAAAAAAAAAAAAAAAAAAA/AAAAAAAAAKCGAQAAAAAAAAAAAAAAAAAMAAAAAQAAAAAAAAAAAAAAAAAAACEAAABAAAAAPAAAAAAAAACQogAAAAAAAAAAAAADAAAAAQAAAAAAAAAAAAAAAgAAAAEAAADfAAAA5gAAAAAAAQBRKgAAHT4AACgAAAAIAAAAAQAAAAMAAAA=" o:insetmode="custom">
              <v:fill color2="#000000" type="solid" opacity="0f" angle="90"/>
              <w10:wrap type="square" anchorx="margin" anchory="text"/>
              <v:textbox style="mso-fit-shape-to-text:t" inset="0.0pt,0.0pt,0.0pt,0.0pt">
                <w:txbxContent>
                  <w:p>
                    <w:r/>
                  </w:p>
                </w:txbxContent>
              </v:textbox>
            </v:rect>
          </w:pict>
        </mc:Fallback>
      </mc:AlternateContent>
    </w:r>
    <w:r/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p>
    <w:pPr>
      <w:pStyle w:val="para27"/>
      <w:ind w:left="-284" w:right="-514"/>
      <w:tabs defTabSz="709">
        <w:tab w:val="clear" w:pos="4677" w:leader="none"/>
        <w:tab w:val="clear" w:pos="9355" w:leader="none"/>
      </w:tabs>
      <w:rPr>
        <w:color w:val="5f497a"/>
      </w:rPr>
    </w:pPr>
    <w:r>
      <w:rPr>
        <w:color w:val="5f497a"/>
      </w:rPr>
      <w:t xml:space="preserve">Официальный сайт: </w:t>
    </w:r>
    <w:hyperlink r:id="rId1" w:history="1">
      <w:r>
        <w:t>www.anzhero.ru</w:t>
      </w:r>
    </w:hyperlink>
    <w:r>
      <w:rPr>
        <w:color w:val="5f497a"/>
      </w:rPr>
      <w:t xml:space="preserve">                                                                </w:t>
    </w:r>
    <w:r>
      <w:rPr>
        <w:color w:val="5f497a"/>
      </w:rPr>
      <w:tab/>
    </w:r>
    <w:r>
      <w:rPr>
        <w:color w:val="5f497a"/>
      </w:rPr>
      <w:t>Эл.почта</w:t>
    </w:r>
    <w:r>
      <w:rPr>
        <w:color w:val="5f497a"/>
      </w:rPr>
      <w:t xml:space="preserve">: </w:t>
    </w:r>
    <w:hyperlink r:id="rId2" w:history="1">
      <w:r>
        <w:t>adm@anzhero.ru</w:t>
      </w:r>
    </w:hyperlink>
  </w:p>
  <w:p>
    <w:pPr>
      <w:pStyle w:val="para27"/>
      <w:ind w:left="-709" w:right="-514"/>
      <w:rPr>
        <w:color w:val="5f497a"/>
      </w:rPr>
    </w:pPr>
    <w:r>
      <w:rPr>
        <w:color w:val="5f497a"/>
      </w:rPr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p>
    <w:pPr>
      <w:pStyle w:val="para27"/>
      <w:ind w:left="-284" w:right="-514"/>
      <w:tabs defTabSz="709">
        <w:tab w:val="clear" w:pos="4677" w:leader="none"/>
        <w:tab w:val="clear" w:pos="9355" w:leader="none"/>
      </w:tabs>
      <w:rPr>
        <w:color w:val="5f497a"/>
      </w:rPr>
    </w:pPr>
    <w:r>
      <w:rPr>
        <w:color w:val="5f497a"/>
      </w:rPr>
      <w:t xml:space="preserve">Официальный сайт: </w:t>
    </w:r>
    <w:hyperlink r:id="rId1" w:history="1">
      <w:r>
        <w:t>www.anzhero.ru</w:t>
      </w:r>
    </w:hyperlink>
    <w:r>
      <w:rPr>
        <w:color w:val="5f497a"/>
      </w:rPr>
      <w:t xml:space="preserve">                                                                </w:t>
    </w:r>
    <w:r>
      <w:rPr>
        <w:color w:val="5f497a"/>
      </w:rPr>
      <w:tab/>
    </w:r>
    <w:r>
      <w:rPr>
        <w:color w:val="5f497a"/>
      </w:rPr>
      <w:t>Эл.почта</w:t>
    </w:r>
    <w:r>
      <w:rPr>
        <w:color w:val="5f497a"/>
      </w:rPr>
      <w:t xml:space="preserve">: </w:t>
    </w:r>
    <w:hyperlink r:id="rId2" w:history="1">
      <w:r>
        <w:t>adm@anzhero.ru</w:t>
      </w:r>
    </w:hyperlink>
  </w:p>
  <w:p>
    <w:pPr>
      <w:pStyle w:val="para27"/>
      <w:ind w:left="-709" w:right="-514"/>
      <w:rPr>
        <w:color w:val="5f497a"/>
      </w:rPr>
    </w:pPr>
    <w:r>
      <w:rPr>
        <w:color w:val="5f497a"/>
      </w:rPr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abstractNum w:abstractNumId="0">
    <w:multiLevelType w:val="hybridMultilevel"/>
    <w:tmNoNumList/>
    <w:lvl w:ilvl="0">
      <w:numFmt w:val="none"/>
      <w:lvlText w:val=""/>
      <w:lvlJc w:val="left"/>
      <w:pPr>
        <w:tabs>
          <w:tab w:val="num" w:pos="360"/>
        </w:tabs>
        <w:ind w:left="360" w:hanging="360"/>
      </w:pPr>
    </w:lvl>
    <w:lvl w:ilvl="1">
      <w:numFmt w:val="none"/>
      <w:lvlText w:val=""/>
      <w:lvlJc w:val="left"/>
      <w:pPr>
        <w:tabs>
          <w:tab w:val="num" w:pos="360"/>
        </w:tabs>
        <w:ind w:left="360" w:hanging="360"/>
      </w:pPr>
    </w:lvl>
    <w:lvl w:ilvl="2">
      <w:numFmt w:val="none"/>
      <w:lvlText w:val=""/>
      <w:lvlJc w:val="left"/>
      <w:pPr>
        <w:tabs>
          <w:tab w:val="num" w:pos="360"/>
        </w:tabs>
        <w:ind w:left="360" w:hanging="360"/>
      </w:pPr>
    </w:lvl>
    <w:lvl w:ilvl="3">
      <w:numFmt w:val="none"/>
      <w:lvlText w:val=""/>
      <w:lvlJc w:val="left"/>
      <w:pPr>
        <w:tabs>
          <w:tab w:val="num" w:pos="360"/>
        </w:tabs>
        <w:ind w:left="360" w:hanging="360"/>
      </w:pPr>
    </w:lvl>
    <w:lvl w:ilvl="4">
      <w:numFmt w:val="none"/>
      <w:lvlText w:val=""/>
      <w:lvlJc w:val="left"/>
      <w:pPr>
        <w:tabs>
          <w:tab w:val="num" w:pos="360"/>
        </w:tabs>
        <w:ind w:left="360" w:hanging="360"/>
      </w:pPr>
    </w:lvl>
    <w:lvl w:ilvl="5">
      <w:numFmt w:val="none"/>
      <w:lvlText w:val=""/>
      <w:lvlJc w:val="left"/>
      <w:pPr>
        <w:tabs>
          <w:tab w:val="num" w:pos="360"/>
        </w:tabs>
        <w:ind w:left="360" w:hanging="360"/>
      </w:pPr>
    </w:lvl>
    <w:lvl w:ilvl="6">
      <w:numFmt w:val="none"/>
      <w:lvlText w:val=""/>
      <w:lvlJc w:val="left"/>
      <w:pPr>
        <w:tabs>
          <w:tab w:val="num" w:pos="360"/>
        </w:tabs>
        <w:ind w:left="360" w:hanging="360"/>
      </w:pPr>
    </w:lvl>
    <w:lvl w:ilvl="7">
      <w:numFmt w:val="none"/>
      <w:lvlText w:val=""/>
      <w:lvlJc w:val="left"/>
      <w:pPr>
        <w:tabs>
          <w:tab w:val="num" w:pos="360"/>
        </w:tabs>
        <w:ind w:left="360" w:hanging="360"/>
      </w:pPr>
    </w:lvl>
    <w:lvl w:ilvl="8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abstractNum w:abstractNumId="1">
    <w:multiLevelType w:val="hybridMultilevel"/>
    <w:name w:val="Нумерованный список 1"/>
    <w:lvl w:ilvl="0">
      <w:start w:val="1"/>
      <w:numFmt w:val="decimal"/>
      <w:suff w:val="tab"/>
      <w:lvlText w:val="%1."/>
      <w:lvlJc w:val="left"/>
      <w:pPr>
        <w:ind w:left="0" w:hanging="0"/>
      </w:pPr>
      <w:rPr>
        <w:b/>
      </w:rPr>
    </w:lvl>
    <w:lvl w:ilvl="1">
      <w:start w:val="1"/>
      <w:numFmt w:val="decimal"/>
      <w:suff w:val="tab"/>
      <w:lvlText w:val="%2."/>
      <w:lvlJc w:val="left"/>
      <w:pPr>
        <w:ind w:left="720" w:hanging="0"/>
      </w:pPr>
    </w:lvl>
    <w:lvl w:ilvl="2">
      <w:start w:val="1"/>
      <w:numFmt w:val="decimal"/>
      <w:suff w:val="tab"/>
      <w:lvlText w:val="%3."/>
      <w:lvlJc w:val="left"/>
      <w:pPr>
        <w:ind w:left="1080" w:hanging="0"/>
      </w:pPr>
    </w:lvl>
    <w:lvl w:ilvl="3">
      <w:start w:val="1"/>
      <w:numFmt w:val="decimal"/>
      <w:suff w:val="tab"/>
      <w:lvlText w:val="%4."/>
      <w:lvlJc w:val="left"/>
      <w:pPr>
        <w:ind w:left="1440" w:hanging="0"/>
      </w:pPr>
    </w:lvl>
    <w:lvl w:ilvl="4">
      <w:start w:val="1"/>
      <w:numFmt w:val="decimal"/>
      <w:suff w:val="tab"/>
      <w:lvlText w:val="%5."/>
      <w:lvlJc w:val="left"/>
      <w:pPr>
        <w:ind w:left="1800" w:hanging="0"/>
      </w:pPr>
    </w:lvl>
    <w:lvl w:ilvl="5">
      <w:start w:val="1"/>
      <w:numFmt w:val="decimal"/>
      <w:suff w:val="tab"/>
      <w:lvlText w:val="%6."/>
      <w:lvlJc w:val="left"/>
      <w:pPr>
        <w:ind w:left="2160" w:hanging="0"/>
      </w:pPr>
    </w:lvl>
    <w:lvl w:ilvl="6">
      <w:start w:val="1"/>
      <w:numFmt w:val="decimal"/>
      <w:suff w:val="tab"/>
      <w:lvlText w:val="%7."/>
      <w:lvlJc w:val="left"/>
      <w:pPr>
        <w:ind w:left="2520" w:hanging="0"/>
      </w:pPr>
    </w:lvl>
    <w:lvl w:ilvl="7">
      <w:start w:val="1"/>
      <w:numFmt w:val="decimal"/>
      <w:suff w:val="tab"/>
      <w:lvlText w:val="%8."/>
      <w:lvlJc w:val="left"/>
      <w:pPr>
        <w:ind w:left="2880" w:hanging="0"/>
      </w:pPr>
    </w:lvl>
    <w:lvl w:ilvl="8">
      <w:start w:val="1"/>
      <w:numFmt w:val="decimal"/>
      <w:suff w:val="tab"/>
      <w:lvlText w:val="%9."/>
      <w:lvlJc w:val="left"/>
      <w:pPr>
        <w:ind w:left="3240" w:hanging="0"/>
      </w:pPr>
    </w:lvl>
  </w:abstractNum>
  <w:abstractNum w:abstractNumId="2">
    <w:multiLevelType w:val="hybridMultilevel"/>
    <w:name w:val="Нумерованный список 2"/>
    <w:lvl w:ilvl="0">
      <w:numFmt w:val="bullet"/>
      <w:suff w:val="tab"/>
      <w:lvlText w:val=""/>
      <w:lvlJc w:val="left"/>
      <w:pPr>
        <w:ind w:left="426" w:hanging="0"/>
      </w:pPr>
      <w:rPr>
        <w:rFonts w:ascii="Wingdings" w:hAnsi="Wingdings"/>
      </w:rPr>
    </w:lvl>
    <w:lvl w:ilvl="1">
      <w:numFmt w:val="bullet"/>
      <w:suff w:val="tab"/>
      <w:lvlText w:val="o"/>
      <w:lvlJc w:val="left"/>
      <w:pPr>
        <w:ind w:left="1080" w:hanging="0"/>
      </w:pPr>
      <w:rPr>
        <w:rFonts w:ascii="Courier New" w:hAnsi="Courier New"/>
      </w:rPr>
    </w:lvl>
    <w:lvl w:ilvl="2">
      <w:numFmt w:val="bullet"/>
      <w:suff w:val="tab"/>
      <w:lvlText w:val=""/>
      <w:lvlJc w:val="left"/>
      <w:pPr>
        <w:ind w:left="1800" w:hanging="0"/>
      </w:pPr>
      <w:rPr>
        <w:rFonts w:ascii="Wingdings" w:hAnsi="Wingdings" w:eastAsia="Wingdings" w:cs="Wingdings"/>
      </w:rPr>
    </w:lvl>
    <w:lvl w:ilvl="3">
      <w:numFmt w:val="bullet"/>
      <w:suff w:val="tab"/>
      <w:lvlText w:val="·"/>
      <w:lvlJc w:val="left"/>
      <w:pPr>
        <w:ind w:left="2520" w:hanging="0"/>
      </w:pPr>
      <w:rPr>
        <w:rFonts w:ascii="Symbol" w:hAnsi="Symbol"/>
      </w:rPr>
    </w:lvl>
    <w:lvl w:ilvl="4">
      <w:numFmt w:val="bullet"/>
      <w:suff w:val="tab"/>
      <w:lvlText w:val="o"/>
      <w:lvlJc w:val="left"/>
      <w:pPr>
        <w:ind w:left="3240" w:hanging="0"/>
      </w:pPr>
      <w:rPr>
        <w:rFonts w:ascii="Courier New" w:hAnsi="Courier New"/>
      </w:rPr>
    </w:lvl>
    <w:lvl w:ilvl="5">
      <w:numFmt w:val="bullet"/>
      <w:suff w:val="tab"/>
      <w:lvlText w:val=""/>
      <w:lvlJc w:val="left"/>
      <w:pPr>
        <w:ind w:left="3960" w:hanging="0"/>
      </w:pPr>
      <w:rPr>
        <w:rFonts w:ascii="Wingdings" w:hAnsi="Wingdings" w:eastAsia="Wingdings" w:cs="Wingdings"/>
      </w:rPr>
    </w:lvl>
    <w:lvl w:ilvl="6">
      <w:numFmt w:val="bullet"/>
      <w:suff w:val="tab"/>
      <w:lvlText w:val="·"/>
      <w:lvlJc w:val="left"/>
      <w:pPr>
        <w:ind w:left="4680" w:hanging="0"/>
      </w:pPr>
      <w:rPr>
        <w:rFonts w:ascii="Symbol" w:hAnsi="Symbol"/>
      </w:rPr>
    </w:lvl>
    <w:lvl w:ilvl="7">
      <w:numFmt w:val="bullet"/>
      <w:suff w:val="tab"/>
      <w:lvlText w:val="o"/>
      <w:lvlJc w:val="left"/>
      <w:pPr>
        <w:ind w:left="5400" w:hanging="0"/>
      </w:pPr>
      <w:rPr>
        <w:rFonts w:ascii="Courier New" w:hAnsi="Courier New"/>
      </w:rPr>
    </w:lvl>
    <w:lvl w:ilvl="8">
      <w:numFmt w:val="bullet"/>
      <w:suff w:val="tab"/>
      <w:lvlText w:val=""/>
      <w:lvlJc w:val="left"/>
      <w:pPr>
        <w:ind w:left="6120" w:hanging="0"/>
      </w:pPr>
      <w:rPr>
        <w:rFonts w:ascii="Wingdings" w:hAnsi="Wingdings" w:eastAsia="Wingdings" w:cs="Wingdings"/>
      </w:rPr>
    </w:lvl>
  </w:abstractNum>
  <w:abstractNum w:abstractNumId="3">
    <w:multiLevelType w:val="hybridMultilevel"/>
    <w:name w:val="Нумерованный список 3"/>
    <w:lvl w:ilvl="0">
      <w:numFmt w:val="bullet"/>
      <w:suff w:val="tab"/>
      <w:lvlText w:val=""/>
      <w:lvlJc w:val="left"/>
      <w:pPr>
        <w:ind w:left="360" w:hanging="0"/>
      </w:pPr>
      <w:rPr>
        <w:rFonts w:ascii="Wingdings" w:hAnsi="Wingdings"/>
      </w:rPr>
    </w:lvl>
    <w:lvl w:ilvl="1">
      <w:numFmt w:val="bullet"/>
      <w:suff w:val="tab"/>
      <w:lvlText w:val="o"/>
      <w:lvlJc w:val="left"/>
      <w:pPr>
        <w:ind w:left="1080" w:hanging="0"/>
      </w:pPr>
      <w:rPr>
        <w:rFonts w:ascii="Courier New" w:hAnsi="Courier New"/>
      </w:rPr>
    </w:lvl>
    <w:lvl w:ilvl="2">
      <w:numFmt w:val="bullet"/>
      <w:suff w:val="tab"/>
      <w:lvlText w:val=""/>
      <w:lvlJc w:val="left"/>
      <w:pPr>
        <w:ind w:left="1800" w:hanging="0"/>
      </w:pPr>
      <w:rPr>
        <w:rFonts w:ascii="Wingdings" w:hAnsi="Wingdings" w:eastAsia="Wingdings" w:cs="Wingdings"/>
      </w:rPr>
    </w:lvl>
    <w:lvl w:ilvl="3">
      <w:numFmt w:val="bullet"/>
      <w:suff w:val="tab"/>
      <w:lvlText w:val="·"/>
      <w:lvlJc w:val="left"/>
      <w:pPr>
        <w:ind w:left="2520" w:hanging="0"/>
      </w:pPr>
      <w:rPr>
        <w:rFonts w:ascii="Symbol" w:hAnsi="Symbol"/>
      </w:rPr>
    </w:lvl>
    <w:lvl w:ilvl="4">
      <w:numFmt w:val="bullet"/>
      <w:suff w:val="tab"/>
      <w:lvlText w:val="o"/>
      <w:lvlJc w:val="left"/>
      <w:pPr>
        <w:ind w:left="3240" w:hanging="0"/>
      </w:pPr>
      <w:rPr>
        <w:rFonts w:ascii="Courier New" w:hAnsi="Courier New"/>
      </w:rPr>
    </w:lvl>
    <w:lvl w:ilvl="5">
      <w:numFmt w:val="bullet"/>
      <w:suff w:val="tab"/>
      <w:lvlText w:val=""/>
      <w:lvlJc w:val="left"/>
      <w:pPr>
        <w:ind w:left="3960" w:hanging="0"/>
      </w:pPr>
      <w:rPr>
        <w:rFonts w:ascii="Wingdings" w:hAnsi="Wingdings" w:eastAsia="Wingdings" w:cs="Wingdings"/>
      </w:rPr>
    </w:lvl>
    <w:lvl w:ilvl="6">
      <w:numFmt w:val="bullet"/>
      <w:suff w:val="tab"/>
      <w:lvlText w:val="·"/>
      <w:lvlJc w:val="left"/>
      <w:pPr>
        <w:ind w:left="4680" w:hanging="0"/>
      </w:pPr>
      <w:rPr>
        <w:rFonts w:ascii="Symbol" w:hAnsi="Symbol"/>
      </w:rPr>
    </w:lvl>
    <w:lvl w:ilvl="7">
      <w:numFmt w:val="bullet"/>
      <w:suff w:val="tab"/>
      <w:lvlText w:val="o"/>
      <w:lvlJc w:val="left"/>
      <w:pPr>
        <w:ind w:left="5400" w:hanging="0"/>
      </w:pPr>
      <w:rPr>
        <w:rFonts w:ascii="Courier New" w:hAnsi="Courier New"/>
      </w:rPr>
    </w:lvl>
    <w:lvl w:ilvl="8">
      <w:numFmt w:val="bullet"/>
      <w:suff w:val="tab"/>
      <w:lvlText w:val=""/>
      <w:lvlJc w:val="left"/>
      <w:pPr>
        <w:ind w:left="6120" w:hanging="0"/>
      </w:pPr>
      <w:rPr>
        <w:rFonts w:ascii="Wingdings" w:hAnsi="Wingdings" w:eastAsia="Wingdings" w:cs="Wingdings"/>
      </w:rPr>
    </w:lvl>
  </w:abstractNum>
  <w:abstractNum w:abstractNumId="4">
    <w:multiLevelType w:val="hybridMultilevel"/>
    <w:name w:val="Нумерованный список 4"/>
    <w:lvl w:ilvl="0">
      <w:numFmt w:val="bullet"/>
      <w:suff w:val="tab"/>
      <w:lvlText w:val=""/>
      <w:lvlJc w:val="left"/>
      <w:pPr>
        <w:ind w:left="360" w:hanging="0"/>
      </w:pPr>
      <w:rPr>
        <w:rFonts w:ascii="Wingdings" w:hAnsi="Wingdings"/>
      </w:rPr>
    </w:lvl>
    <w:lvl w:ilvl="1">
      <w:numFmt w:val="bullet"/>
      <w:suff w:val="tab"/>
      <w:lvlText w:val="o"/>
      <w:lvlJc w:val="left"/>
      <w:pPr>
        <w:ind w:left="1080" w:hanging="0"/>
      </w:pPr>
      <w:rPr>
        <w:rFonts w:ascii="Courier New" w:hAnsi="Courier New"/>
      </w:rPr>
    </w:lvl>
    <w:lvl w:ilvl="2">
      <w:numFmt w:val="bullet"/>
      <w:suff w:val="tab"/>
      <w:lvlText w:val=""/>
      <w:lvlJc w:val="left"/>
      <w:pPr>
        <w:ind w:left="1800" w:hanging="0"/>
      </w:pPr>
      <w:rPr>
        <w:rFonts w:ascii="Wingdings" w:hAnsi="Wingdings" w:eastAsia="Wingdings" w:cs="Wingdings"/>
      </w:rPr>
    </w:lvl>
    <w:lvl w:ilvl="3">
      <w:numFmt w:val="bullet"/>
      <w:suff w:val="tab"/>
      <w:lvlText w:val="·"/>
      <w:lvlJc w:val="left"/>
      <w:pPr>
        <w:ind w:left="2520" w:hanging="0"/>
      </w:pPr>
      <w:rPr>
        <w:rFonts w:ascii="Symbol" w:hAnsi="Symbol"/>
      </w:rPr>
    </w:lvl>
    <w:lvl w:ilvl="4">
      <w:numFmt w:val="bullet"/>
      <w:suff w:val="tab"/>
      <w:lvlText w:val="o"/>
      <w:lvlJc w:val="left"/>
      <w:pPr>
        <w:ind w:left="3240" w:hanging="0"/>
      </w:pPr>
      <w:rPr>
        <w:rFonts w:ascii="Courier New" w:hAnsi="Courier New"/>
      </w:rPr>
    </w:lvl>
    <w:lvl w:ilvl="5">
      <w:numFmt w:val="bullet"/>
      <w:suff w:val="tab"/>
      <w:lvlText w:val=""/>
      <w:lvlJc w:val="left"/>
      <w:pPr>
        <w:ind w:left="3960" w:hanging="0"/>
      </w:pPr>
      <w:rPr>
        <w:rFonts w:ascii="Wingdings" w:hAnsi="Wingdings" w:eastAsia="Wingdings" w:cs="Wingdings"/>
      </w:rPr>
    </w:lvl>
    <w:lvl w:ilvl="6">
      <w:numFmt w:val="bullet"/>
      <w:suff w:val="tab"/>
      <w:lvlText w:val="·"/>
      <w:lvlJc w:val="left"/>
      <w:pPr>
        <w:ind w:left="4680" w:hanging="0"/>
      </w:pPr>
      <w:rPr>
        <w:rFonts w:ascii="Symbol" w:hAnsi="Symbol"/>
      </w:rPr>
    </w:lvl>
    <w:lvl w:ilvl="7">
      <w:numFmt w:val="bullet"/>
      <w:suff w:val="tab"/>
      <w:lvlText w:val="o"/>
      <w:lvlJc w:val="left"/>
      <w:pPr>
        <w:ind w:left="5400" w:hanging="0"/>
      </w:pPr>
      <w:rPr>
        <w:rFonts w:ascii="Courier New" w:hAnsi="Courier New"/>
      </w:rPr>
    </w:lvl>
    <w:lvl w:ilvl="8">
      <w:numFmt w:val="bullet"/>
      <w:suff w:val="tab"/>
      <w:lvlText w:val=""/>
      <w:lvlJc w:val="left"/>
      <w:pPr>
        <w:ind w:left="6120" w:hanging="0"/>
      </w:pPr>
      <w:rPr>
        <w:rFonts w:ascii="Wingdings" w:hAnsi="Wingdings" w:eastAsia="Wingdings" w:cs="Wingding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view w:val="print"/>
  <w:defaultTabStop w:val="709"/>
  <w:autoHyphenation w:val="0"/>
  <w:doNotShadeFormData w:val="0"/>
  <w:captions>
    <w:caption w:name="Таблица" w:pos="below" w:numFmt="decimal"/>
    <w:caption w:name="Рисунок" w:pos="below" w:numFmt="decimal"/>
    <w:caption w:name="Изображение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lowerRoman"/>
    <w:numStart w:val="1"/>
    <w:numRestart w:val="continuous"/>
  </w:endnotePr>
  <w:compat>
    <w:compatSetting w:name="compatibilityMode" w:uri="http://schemas.microsoft.com/office/word" w:val="15"/>
  </w:compat>
  <w:shapeDefaults>
    <o:shapedefaults v:ext="edit" spidmax="5126"/>
    <o:shapelayout v:ext="edit">
      <o:rules v:ext="edit"/>
    </o:shapelayout>
  </w:shapeDefaults>
  <w:tmPrefOne w:val="17"/>
  <w:tmPrefTwo w:val="1"/>
  <w:tmFmtPref w:val="55057515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12"/>
    <w:tmReviewMarkIns w:val="4"/>
    <w:tmReviewColorIns w:val="-1"/>
    <w:tmReviewMarkDel w:val="7"/>
    <w:tmReviewColorDel w:val="-1"/>
    <w:tmReviewMarkFmt w:val="7"/>
    <w:tmReviewColorFmt w:val="-1"/>
    <w:tmReviewMarkLn w:val="1"/>
    <w:tmReviewColorLn w:val="0"/>
    <w:tmReviewToolTip w:val="1"/>
  </w:tmReviewPr>
  <w:tmLastPos>
    <w:tmLastPosPage w:val="18"/>
    <w:tmLastPosSelect w:val="0"/>
    <w:tmLastPosFrameIdx w:val="0"/>
    <w:tmLastPosCaret>
      <w:tmLastPosPgfIdx w:val="310"/>
      <w:tmLastPosIdx w:val="13"/>
    </w:tmLastPosCaret>
    <w:tmLastPosAnchor>
      <w:tmLastPosPgfIdx w:val="0"/>
      <w:tmLastPosIdx w:val="0"/>
    </w:tmLastPosAnchor>
    <w:tmLastPosTblRect w:left="0" w:top="0" w:right="0" w:bottom="0"/>
  </w:tmLastPos>
  <w:tmAppRevision w:date="1733124711" w:val="1216" w:fileVer="342" w:fileVer64="64" w:fileVerOS="3"/>
  <w:guidesAndGrid showGuides="1" lockGuides="0" snapToGuides="1" snapToPageMargins="0" tolerance="8" gridDistanceHorizontal="283" gridDistanceVertical="283" showGrid="0" snapToGrid="0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Times New Roman" w:cs="Times New Roman"/>
        <w:color w:val="000000"/>
        <w:sz w:val="20"/>
        <w:szCs w:val="20"/>
        <w:lang w:val="ru-ru" w:eastAsia="ru-ru" w:bidi="ar-sa"/>
      </w:rPr>
    </w:rPrDefault>
    <w:pPrDefault>
      <w:pPr>
        <w:spacing/>
        <w:jc w:val="both"/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rPr>
      <w:rFonts w:ascii="Arial" w:hAnsi="Arial"/>
    </w:rPr>
  </w:style>
  <w:style w:type="paragraph" w:styleId="para1">
    <w:name w:val="heading 1"/>
    <w:qFormat/>
    <w:pPr>
      <w:spacing/>
      <w:jc w:val="left"/>
      <w:outlineLvl w:val="0"/>
      <w:widowControl/>
    </w:pPr>
    <w:rPr>
      <w:rFonts w:ascii="Times New Roman" w:hAnsi="Times New Roman" w:eastAsia="Times New Roman" w:cs="Times New Roman"/>
      <w:b/>
      <w:color w:val="000000"/>
      <w:lang w:val="ru-ru" w:eastAsia="ru-ru" w:bidi="ar-sa"/>
    </w:rPr>
  </w:style>
  <w:style w:type="paragraph" w:styleId="para2">
    <w:name w:val="heading 2"/>
    <w:qFormat/>
    <w:pPr>
      <w:spacing/>
      <w:jc w:val="left"/>
      <w:outlineLvl w:val="1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3">
    <w:name w:val="heading 3"/>
    <w:qFormat/>
    <w:pPr>
      <w:spacing/>
      <w:jc w:val="left"/>
      <w:outlineLvl w:val="2"/>
      <w:widowControl/>
    </w:pPr>
    <w:rPr>
      <w:rFonts w:ascii="Cambria" w:hAnsi="Cambria" w:eastAsia="Times New Roman" w:cs="Times New Roman"/>
      <w:b/>
      <w:color w:val="000000"/>
      <w:sz w:val="26"/>
      <w:lang w:val="ru-ru" w:eastAsia="ru-ru" w:bidi="ar-sa"/>
    </w:rPr>
  </w:style>
  <w:style w:type="paragraph" w:styleId="para4">
    <w:name w:val="heading 4"/>
    <w:qFormat/>
    <w:pPr>
      <w:spacing/>
      <w:jc w:val="left"/>
      <w:outlineLvl w:val="3"/>
      <w:widowControl/>
    </w:pPr>
    <w:rPr>
      <w:rFonts w:ascii="Times New Roman" w:hAnsi="Times New Roman" w:eastAsia="Times New Roman" w:cs="Times New Roman"/>
      <w:color w:val="000000"/>
      <w:sz w:val="36"/>
      <w:lang w:val="ru-ru" w:eastAsia="ru-ru" w:bidi="ar-sa"/>
    </w:rPr>
  </w:style>
  <w:style w:type="paragraph" w:styleId="para5">
    <w:name w:val="heading 5"/>
    <w:qFormat/>
    <w:basedOn w:val="para0"/>
    <w:next w:val="para0"/>
    <w:pPr>
      <w:spacing w:before="240" w:after="60"/>
      <w:outlineLvl w:val="4"/>
    </w:pPr>
    <w:rPr>
      <w:b/>
      <w:i/>
      <w:sz w:val="26"/>
    </w:rPr>
  </w:style>
  <w:style w:type="paragraph" w:styleId="para6">
    <w:name w:val="heading 6"/>
    <w:qFormat/>
    <w:pPr>
      <w:spacing/>
      <w:jc w:val="left"/>
      <w:outlineLvl w:val="5"/>
      <w:widowControl/>
    </w:pPr>
    <w:rPr>
      <w:rFonts w:ascii="Times New Roman" w:hAnsi="Times New Roman" w:eastAsia="Times New Roman" w:cs="Times New Roman"/>
      <w:b/>
      <w:color w:val="000000"/>
      <w:sz w:val="22"/>
      <w:lang w:val="ru-ru" w:eastAsia="ru-ru" w:bidi="ar-sa"/>
    </w:rPr>
  </w:style>
  <w:style w:type="paragraph" w:styleId="para7">
    <w:name w:val="heading 8"/>
    <w:qFormat/>
    <w:basedOn w:val="para0"/>
    <w:next w:val="para0"/>
    <w:pPr>
      <w:keepNext/>
      <w:outlineLvl w:val="7"/>
      <w:widowControl/>
    </w:pPr>
    <w:rPr>
      <w:rFonts w:ascii="Times New Roman" w:hAnsi="Times New Roman"/>
      <w:b/>
      <w:i/>
    </w:rPr>
  </w:style>
  <w:style w:type="paragraph" w:styleId="para8" w:customStyle="1">
    <w:name w:val="Contents 4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9">
    <w:name w:val="toc 2"/>
    <w:qFormat/>
    <w:next w:val="para0"/>
    <w:pPr>
      <w:ind w:left="2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0">
    <w:name w:val="toc 4"/>
    <w:qFormat/>
    <w:next w:val="para0"/>
    <w:pPr>
      <w:ind w:left="6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1">
    <w:name w:val="Body Text"/>
    <w:qFormat/>
    <w:basedOn w:val="para0"/>
    <w:pPr>
      <w:spacing w:after="120"/>
    </w:pPr>
  </w:style>
  <w:style w:type="paragraph" w:styleId="para12">
    <w:name w:val="Body Text Indent"/>
    <w:qFormat/>
    <w:basedOn w:val="para0"/>
    <w:pPr>
      <w:ind w:left="283"/>
      <w:spacing w:after="120"/>
      <w:widowControl/>
    </w:pPr>
    <w:rPr>
      <w:rFonts w:ascii="Times New Roman" w:hAnsi="Times New Roman"/>
      <w:sz w:val="28"/>
    </w:rPr>
  </w:style>
  <w:style w:type="paragraph" w:styleId="para13" w:customStyle="1">
    <w:name w:val="Обычный1"/>
    <w:qFormat/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14" w:customStyle="1">
    <w:name w:val="Основной текст 31"/>
    <w:qFormat/>
    <w:basedOn w:val="para0"/>
    <w:pPr>
      <w:widowControl/>
    </w:pPr>
    <w:rPr>
      <w:rFonts w:ascii="Verdana" w:hAnsi="Verdana"/>
      <w:b/>
      <w:sz w:val="24"/>
    </w:rPr>
  </w:style>
  <w:style w:type="paragraph" w:styleId="para15">
    <w:name w:val="toc 6"/>
    <w:qFormat/>
    <w:next w:val="para0"/>
    <w:pPr>
      <w:ind w:left="10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6">
    <w:name w:val="toc 7"/>
    <w:qFormat/>
    <w:next w:val="para0"/>
    <w:pPr>
      <w:ind w:left="12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7">
    <w:name w:val="Balloon Text"/>
    <w:qFormat/>
    <w:basedOn w:val="para0"/>
    <w:rPr>
      <w:rFonts w:ascii="Tahoma" w:hAnsi="Tahoma"/>
      <w:sz w:val="16"/>
    </w:rPr>
  </w:style>
  <w:style w:type="paragraph" w:styleId="para18" w:customStyle="1">
    <w:name w:val="Выделение1"/>
    <w:qFormat/>
    <w:pPr>
      <w:spacing/>
      <w:jc w:val="left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19">
    <w:name w:val="Body Text 3"/>
    <w:qFormat/>
    <w:basedOn w:val="para0"/>
    <w:pPr>
      <w:spacing/>
      <w:jc w:val="left"/>
      <w:widowControl/>
    </w:pPr>
    <w:rPr>
      <w:rFonts w:ascii="Verdana" w:hAnsi="Verdana"/>
      <w:b/>
      <w:sz w:val="24"/>
    </w:rPr>
  </w:style>
  <w:style w:type="paragraph" w:styleId="para20">
    <w:name w:val="Body Text Indent 2"/>
    <w:qFormat/>
    <w:basedOn w:val="para0"/>
    <w:pPr>
      <w:ind w:left="283"/>
      <w:spacing w:after="120" w:line="480" w:lineRule="auto"/>
      <w:widowControl/>
    </w:pPr>
    <w:rPr>
      <w:rFonts w:ascii="Times New Roman" w:hAnsi="Times New Roman"/>
      <w:sz w:val="28"/>
    </w:rPr>
  </w:style>
  <w:style w:type="paragraph" w:styleId="para21" w:customStyle="1">
    <w:name w:val="Contents 1"/>
    <w:qFormat/>
    <w:pPr>
      <w:spacing/>
      <w:jc w:val="left"/>
      <w:widowControl/>
    </w:pPr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para22">
    <w:name w:val="Title"/>
    <w:qFormat/>
    <w:next w:val="para0"/>
    <w:pPr>
      <w:spacing w:before="567" w:after="567"/>
      <w:jc w:val="center"/>
      <w:widowControl/>
    </w:pPr>
    <w:rPr>
      <w:rFonts w:ascii="XO Thames" w:hAnsi="XO Thames" w:eastAsia="Times New Roman" w:cs="Times New Roman"/>
      <w:b/>
      <w:caps/>
      <w:color w:val="000000"/>
      <w:sz w:val="40"/>
      <w:lang w:val="ru-ru" w:eastAsia="ru-ru" w:bidi="ar-sa"/>
    </w:rPr>
  </w:style>
  <w:style w:type="paragraph" w:styleId="para23">
    <w:name w:val="No Spacing"/>
    <w:qFormat/>
    <w:pPr>
      <w:spacing/>
      <w:jc w:val="left"/>
      <w:widowControl/>
    </w:pPr>
    <w:rPr>
      <w:rFonts w:ascii="Calibri" w:hAnsi="Calibri" w:eastAsia="Times New Roman" w:cs="Times New Roman"/>
      <w:color w:val="000000"/>
      <w:sz w:val="22"/>
      <w:lang w:val="ru-ru" w:eastAsia="ru-ru" w:bidi="ar-sa"/>
    </w:rPr>
  </w:style>
  <w:style w:type="paragraph" w:styleId="para24" w:customStyle="1">
    <w:name w:val="Text body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25">
    <w:name w:val="toc 3"/>
    <w:qFormat/>
    <w:next w:val="para0"/>
    <w:pPr>
      <w:ind w:left="4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26">
    <w:name w:val="Subtitle"/>
    <w:qFormat/>
    <w:next w:val="para0"/>
    <w:pPr>
      <w:widowControl/>
    </w:pPr>
    <w:rPr>
      <w:rFonts w:ascii="XO Thames" w:hAnsi="XO Thames" w:eastAsia="Times New Roman" w:cs="Times New Roman"/>
      <w:i/>
      <w:color w:val="000000"/>
      <w:sz w:val="24"/>
      <w:lang w:val="ru-ru" w:eastAsia="ru-ru" w:bidi="ar-sa"/>
    </w:rPr>
  </w:style>
  <w:style w:type="paragraph" w:styleId="para27">
    <w:name w:val="Header"/>
    <w:qFormat/>
    <w:basedOn w:val="para0"/>
    <w:pPr>
      <w:tabs defTabSz="709">
        <w:tab w:val="center" w:pos="4677" w:leader="none"/>
        <w:tab w:val="right" w:pos="9355" w:leader="none"/>
      </w:tabs>
    </w:pPr>
  </w:style>
  <w:style w:type="paragraph" w:styleId="para28" w:customStyle="1">
    <w:name w:val="Знак Знак Знак Знак"/>
    <w:qFormat/>
    <w:basedOn w:val="para0"/>
    <w:pPr>
      <w:spacing w:beforeAutospacing="1" w:afterAutospacing="1"/>
      <w:widowControl/>
    </w:pPr>
    <w:rPr>
      <w:rFonts w:ascii="Tahoma" w:hAnsi="Tahoma"/>
    </w:rPr>
  </w:style>
  <w:style w:type="paragraph" w:styleId="para29" w:customStyle="1">
    <w:name w:val="Contents 5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0" w:customStyle="1">
    <w:name w:val="Табл_заголовок"/>
    <w:qFormat/>
    <w:basedOn w:val="para0"/>
    <w:pPr>
      <w:spacing/>
      <w:jc w:val="center"/>
      <w:widowControl/>
    </w:pPr>
    <w:rPr>
      <w:rFonts w:ascii="Times New Roman" w:hAnsi="Times New Roman"/>
      <w:color w:val="333399"/>
      <w:sz w:val="28"/>
    </w:rPr>
  </w:style>
  <w:style w:type="paragraph" w:styleId="para31" w:customStyle="1">
    <w:name w:val="Contents 2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2">
    <w:name w:val="List Paragraph"/>
    <w:qFormat/>
    <w:basedOn w:val="para0"/>
    <w:pPr>
      <w:ind w:left="720"/>
      <w:spacing/>
      <w:contextualSpacing/>
      <w:jc w:val="left"/>
    </w:pPr>
  </w:style>
  <w:style w:type="paragraph" w:styleId="para33" w:customStyle="1">
    <w:name w:val="Contents 6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4" w:customStyle="1">
    <w:name w:val="Гиперссылка1"/>
    <w:qFormat/>
    <w:pPr>
      <w:spacing/>
      <w:jc w:val="left"/>
      <w:widowControl/>
    </w:pPr>
    <w:rPr>
      <w:rFonts w:ascii="Times New Roman" w:hAnsi="Times New Roman" w:eastAsia="Times New Roman" w:cs="Times New Roman"/>
      <w:color w:val="0000ff"/>
      <w:u w:color="auto" w:val="single"/>
      <w:lang w:val="ru-ru" w:eastAsia="ru-ru" w:bidi="ar-sa"/>
    </w:rPr>
  </w:style>
  <w:style w:type="paragraph" w:styleId="para35" w:customStyle="1">
    <w:name w:val="Footnote"/>
    <w:qFormat/>
    <w:pPr>
      <w:ind w:firstLine="851"/>
      <w:widowControl/>
    </w:pPr>
    <w:rPr>
      <w:rFonts w:ascii="XO Thames" w:hAnsi="XO Thames" w:eastAsia="Times New Roman" w:cs="Times New Roman"/>
      <w:color w:val="000000"/>
      <w:sz w:val="22"/>
      <w:lang w:val="ru-ru" w:eastAsia="ru-ru" w:bidi="ar-sa"/>
    </w:rPr>
  </w:style>
  <w:style w:type="paragraph" w:styleId="para36" w:customStyle="1">
    <w:name w:val="Колонтитул"/>
    <w:qFormat/>
    <w:pPr>
      <w:widowControl/>
    </w:pPr>
    <w:rPr>
      <w:rFonts w:ascii="XO Thames" w:hAnsi="XO Thames" w:eastAsia="Times New Roman" w:cs="Times New Roman"/>
      <w:color w:val="000000"/>
      <w:lang w:val="ru-ru" w:eastAsia="ru-ru" w:bidi="ar-sa"/>
    </w:rPr>
  </w:style>
  <w:style w:type="paragraph" w:styleId="para37" w:customStyle="1">
    <w:name w:val="Основной шрифт абзаца1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38">
    <w:name w:val="toc 1"/>
    <w:qFormat/>
    <w:next w:val="para0"/>
    <w:pPr>
      <w:spacing/>
      <w:jc w:val="left"/>
      <w:widowControl/>
    </w:pPr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para39" w:customStyle="1">
    <w:name w:val="Header and Footer"/>
    <w:qFormat/>
    <w:pPr>
      <w:spacing/>
      <w:jc w:val="left"/>
      <w:widowControl/>
    </w:pPr>
    <w:rPr>
      <w:rFonts w:ascii="XO Thames" w:hAnsi="XO Thames" w:eastAsia="Times New Roman" w:cs="Times New Roman"/>
      <w:color w:val="000000"/>
      <w:lang w:val="ru-ru" w:eastAsia="ru-ru" w:bidi="ar-sa"/>
    </w:rPr>
  </w:style>
  <w:style w:type="paragraph" w:styleId="para40" w:customStyle="1">
    <w:name w:val="Содержимое врезки"/>
    <w:qFormat/>
    <w:basedOn w:val="para0"/>
  </w:style>
  <w:style w:type="paragraph" w:styleId="para41">
    <w:name w:val="toc 9"/>
    <w:qFormat/>
    <w:next w:val="para0"/>
    <w:pPr>
      <w:ind w:left="16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42" w:customStyle="1">
    <w:name w:val="Номер страницы1"/>
    <w:qFormat/>
    <w:basedOn w:val="para37"/>
  </w:style>
  <w:style w:type="paragraph" w:styleId="para43" w:customStyle="1">
    <w:name w:val="Text body indent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sz w:val="28"/>
      <w:lang w:val="ru-ru" w:eastAsia="ru-ru" w:bidi="ar-sa"/>
    </w:rPr>
  </w:style>
  <w:style w:type="paragraph" w:styleId="para44">
    <w:name w:val="List"/>
    <w:qFormat/>
    <w:basedOn w:val="para11"/>
    <w:rPr>
      <w:rFonts w:ascii="PT Astra Serif" w:hAnsi="PT Astra Serif"/>
    </w:rPr>
  </w:style>
  <w:style w:type="paragraph" w:styleId="para45" w:customStyle="1">
    <w:name w:val="ConsPlusNormal"/>
    <w:qFormat/>
    <w:pPr>
      <w:ind w:firstLine="720"/>
    </w:pPr>
    <w:rPr>
      <w:rFonts w:ascii="Arial" w:hAnsi="Arial" w:eastAsia="Times New Roman" w:cs="Times New Roman"/>
      <w:color w:val="000000"/>
      <w:lang w:val="ru-ru" w:eastAsia="ru-ru" w:bidi="ar-sa"/>
    </w:rPr>
  </w:style>
  <w:style w:type="paragraph" w:styleId="para46">
    <w:name w:val="toc 8"/>
    <w:qFormat/>
    <w:next w:val="para0"/>
    <w:pPr>
      <w:ind w:left="14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47" w:customStyle="1">
    <w:name w:val="Просмотренная гиперссылка1"/>
    <w:qFormat/>
    <w:pPr>
      <w:spacing/>
      <w:jc w:val="left"/>
      <w:widowControl/>
    </w:pPr>
    <w:rPr>
      <w:rFonts w:ascii="Times New Roman" w:hAnsi="Times New Roman" w:eastAsia="Times New Roman" w:cs="Times New Roman"/>
      <w:color w:val="800000"/>
      <w:u w:color="auto" w:val="single"/>
      <w:lang w:val="ru-ru" w:eastAsia="ru-ru" w:bidi="ar-sa"/>
    </w:rPr>
  </w:style>
  <w:style w:type="paragraph" w:styleId="para48" w:customStyle="1">
    <w:name w:val="Internet link"/>
    <w:qFormat/>
    <w:pPr>
      <w:spacing/>
      <w:jc w:val="left"/>
      <w:widowControl/>
    </w:pPr>
    <w:rPr>
      <w:rFonts w:ascii="Times New Roman" w:hAnsi="Times New Roman" w:eastAsia="Times New Roman" w:cs="Times New Roman"/>
      <w:color w:val="0000ff"/>
      <w:u w:color="auto" w:val="single"/>
      <w:lang w:val="ru-ru" w:eastAsia="ru-ru" w:bidi="ar-sa"/>
    </w:rPr>
  </w:style>
  <w:style w:type="paragraph" w:styleId="para49" w:customStyle="1">
    <w:name w:val="Выделение2"/>
    <w:qFormat/>
    <w:pPr>
      <w:spacing/>
      <w:jc w:val="left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50">
    <w:name w:val="Footer"/>
    <w:qFormat/>
    <w:basedOn w:val="para0"/>
    <w:pPr>
      <w:tabs defTabSz="709">
        <w:tab w:val="center" w:pos="4677" w:leader="none"/>
        <w:tab w:val="right" w:pos="9355" w:leader="none"/>
      </w:tabs>
    </w:pPr>
  </w:style>
  <w:style w:type="paragraph" w:styleId="para51" w:customStyle="1">
    <w:name w:val="Основной текст 21"/>
    <w:qFormat/>
    <w:basedOn w:val="para0"/>
    <w:pPr>
      <w:widowControl/>
    </w:pPr>
    <w:rPr>
      <w:rFonts w:ascii="Times New Roman" w:hAnsi="Times New Roman"/>
      <w:sz w:val="24"/>
    </w:rPr>
  </w:style>
  <w:style w:type="paragraph" w:styleId="para52">
    <w:name w:val="toc 5"/>
    <w:qFormat/>
    <w:next w:val="para0"/>
    <w:pPr>
      <w:ind w:left="8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53">
    <w:name w:val="Body Text 2"/>
    <w:qFormat/>
    <w:basedOn w:val="para0"/>
    <w:pPr>
      <w:spacing w:after="120" w:line="480" w:lineRule="auto"/>
    </w:pPr>
  </w:style>
  <w:style w:type="paragraph" w:styleId="para54" w:customStyle="1">
    <w:name w:val="Contents 7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55">
    <w:name w:val="Plain Text"/>
    <w:qFormat/>
    <w:basedOn w:val="para0"/>
    <w:rPr>
      <w:rFonts w:ascii="Courier New" w:hAnsi="Courier New"/>
    </w:rPr>
  </w:style>
  <w:style w:type="paragraph" w:styleId="para56" w:customStyle="1">
    <w:name w:val="Default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sz w:val="24"/>
      <w:lang w:val="ru-ru" w:eastAsia="ru-ru" w:bidi="ar-sa"/>
    </w:rPr>
  </w:style>
  <w:style w:type="paragraph" w:styleId="para57">
    <w:name w:val="caption"/>
    <w:qFormat/>
    <w:basedOn w:val="para0"/>
    <w:pPr>
      <w:spacing w:before="120" w:after="120"/>
    </w:pPr>
    <w:rPr>
      <w:rFonts w:ascii="PT Astra Serif" w:hAnsi="PT Astra Serif"/>
      <w:i/>
      <w:sz w:val="24"/>
    </w:rPr>
  </w:style>
  <w:style w:type="paragraph" w:styleId="para58">
    <w:name w:val="Normal (Web)"/>
    <w:qFormat/>
    <w:basedOn w:val="para0"/>
    <w:pPr>
      <w:spacing w:beforeAutospacing="1" w:afterAutospacing="1"/>
      <w:widowControl/>
    </w:pPr>
    <w:rPr>
      <w:rFonts w:ascii="Times New Roman" w:hAnsi="Times New Roman"/>
      <w:sz w:val="24"/>
    </w:rPr>
  </w:style>
  <w:style w:type="paragraph" w:styleId="para59" w:customStyle="1">
    <w:name w:val="Строгий1"/>
    <w:qFormat/>
    <w:pPr>
      <w:spacing/>
      <w:jc w:val="left"/>
      <w:widowControl/>
    </w:pPr>
    <w:rPr>
      <w:rFonts w:ascii="Times New Roman" w:hAnsi="Times New Roman" w:eastAsia="Times New Roman" w:cs="Times New Roman"/>
      <w:b/>
      <w:color w:val="000000"/>
      <w:lang w:val="ru-ru" w:eastAsia="ru-ru" w:bidi="ar-sa"/>
    </w:rPr>
  </w:style>
  <w:style w:type="paragraph" w:styleId="para60" w:customStyle="1">
    <w:name w:val="Абзац"/>
    <w:qFormat/>
    <w:basedOn w:val="para58"/>
    <w:pPr>
      <w:ind w:firstLine="879"/>
    </w:pPr>
    <w:rPr>
      <w:rFonts w:ascii="Arial" w:hAnsi="Arial"/>
      <w:b/>
      <w:sz w:val="32"/>
    </w:rPr>
  </w:style>
  <w:style w:type="paragraph" w:styleId="para61" w:customStyle="1">
    <w:name w:val="Contents 3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62">
    <w:name w:val="Index Heading"/>
    <w:qFormat/>
    <w:basedOn w:val="para0"/>
    <w:rPr>
      <w:rFonts w:ascii="PT Astra Serif" w:hAnsi="PT Astra Serif"/>
    </w:rPr>
  </w:style>
  <w:style w:type="paragraph" w:styleId="para63" w:customStyle="1">
    <w:name w:val="Contents 9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64" w:customStyle="1">
    <w:name w:val="apple-converted-space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65" w:customStyle="1">
    <w:name w:val="Contents 8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character" w:styleId="char0" w:default="1">
    <w:name w:val="Default Paragraph Font"/>
  </w:style>
  <w:style w:type="character" w:styleId="char1" w:customStyle="1">
    <w:name w:val="Обычный1"/>
    <w:rPr>
      <w:rFonts w:ascii="Times New Roman" w:hAnsi="Times New Roman"/>
      <w:color w:val="000000"/>
      <w:spacing w:val="0" w:percent="100"/>
      <w:sz w:val="20"/>
    </w:rPr>
  </w:style>
  <w:style w:type="character" w:styleId="char2" w:customStyle="1">
    <w:name w:val="Contents 4"/>
    <w:rPr>
      <w:rFonts w:ascii="XO Thames" w:hAnsi="XO Thames"/>
      <w:sz w:val="28"/>
    </w:rPr>
  </w:style>
  <w:style w:type="character" w:styleId="char3" w:customStyle="1">
    <w:name w:val="Оглавление 2 Знак"/>
    <w:rPr>
      <w:rFonts w:ascii="XO Thames" w:hAnsi="XO Thames"/>
      <w:color w:val="000000"/>
      <w:spacing w:val="0" w:percent="100"/>
      <w:sz w:val="28"/>
    </w:rPr>
  </w:style>
  <w:style w:type="character" w:styleId="char4" w:customStyle="1">
    <w:name w:val="Оглавление 4 Знак"/>
    <w:rPr>
      <w:rFonts w:ascii="XO Thames" w:hAnsi="XO Thames"/>
      <w:color w:val="000000"/>
      <w:spacing w:val="0" w:percent="100"/>
      <w:sz w:val="28"/>
    </w:rPr>
  </w:style>
  <w:style w:type="character" w:styleId="char5" w:customStyle="1">
    <w:name w:val="Основной текст Знак"/>
    <w:basedOn w:val="char1"/>
    <w:rPr>
      <w:rFonts w:ascii="Arial" w:hAnsi="Arial"/>
      <w:color w:val="000000"/>
      <w:spacing w:val="0" w:percent="100"/>
      <w:sz w:val="20"/>
    </w:rPr>
  </w:style>
  <w:style w:type="character" w:styleId="char6" w:customStyle="1">
    <w:name w:val="Основной текст с отступом Знак"/>
    <w:basedOn w:val="char1"/>
    <w:rPr>
      <w:rFonts w:ascii="Times New Roman" w:hAnsi="Times New Roman"/>
      <w:color w:val="000000"/>
      <w:spacing w:val="0" w:percent="100"/>
      <w:sz w:val="28"/>
    </w:rPr>
  </w:style>
  <w:style w:type="character" w:styleId="char7" w:customStyle="1">
    <w:name w:val="Заголовок 21"/>
    <w:basedOn w:val="char1"/>
    <w:rPr>
      <w:rFonts w:ascii="Times New Roman" w:hAnsi="Times New Roman"/>
      <w:i/>
      <w:color w:val="000000"/>
      <w:spacing w:val="0" w:percent="100"/>
      <w:sz w:val="20"/>
    </w:rPr>
  </w:style>
  <w:style w:type="character" w:styleId="char8" w:customStyle="1">
    <w:name w:val="Основной текст 31"/>
    <w:basedOn w:val="char1"/>
    <w:rPr>
      <w:rFonts w:ascii="Verdana" w:hAnsi="Verdana"/>
      <w:b/>
      <w:color w:val="000000"/>
      <w:spacing w:val="0" w:percent="100"/>
      <w:sz w:val="24"/>
    </w:rPr>
  </w:style>
  <w:style w:type="character" w:styleId="char9" w:customStyle="1">
    <w:name w:val="Оглавление 6 Знак"/>
    <w:rPr>
      <w:rFonts w:ascii="XO Thames" w:hAnsi="XO Thames"/>
      <w:color w:val="000000"/>
      <w:spacing w:val="0" w:percent="100"/>
      <w:sz w:val="28"/>
    </w:rPr>
  </w:style>
  <w:style w:type="character" w:styleId="char10" w:customStyle="1">
    <w:name w:val="Оглавление 7 Знак"/>
    <w:rPr>
      <w:rFonts w:ascii="XO Thames" w:hAnsi="XO Thames"/>
      <w:color w:val="000000"/>
      <w:spacing w:val="0" w:percent="100"/>
      <w:sz w:val="28"/>
    </w:rPr>
  </w:style>
  <w:style w:type="character" w:styleId="char11" w:customStyle="1">
    <w:name w:val="Текст выноски Знак"/>
    <w:basedOn w:val="char1"/>
    <w:rPr>
      <w:rFonts w:ascii="Tahoma" w:hAnsi="Tahoma"/>
      <w:color w:val="000000"/>
      <w:spacing w:val="0" w:percent="100"/>
      <w:sz w:val="16"/>
    </w:rPr>
  </w:style>
  <w:style w:type="character" w:styleId="char12" w:customStyle="1">
    <w:name w:val="Заголовок 11"/>
    <w:basedOn w:val="char1"/>
    <w:rPr>
      <w:rFonts w:ascii="Times New Roman" w:hAnsi="Times New Roman"/>
      <w:b/>
      <w:color w:val="000000"/>
      <w:spacing w:val="0" w:percent="100"/>
      <w:sz w:val="20"/>
    </w:rPr>
  </w:style>
  <w:style w:type="character" w:styleId="char13" w:customStyle="1">
    <w:name w:val="Заголовок 31"/>
    <w:basedOn w:val="char1"/>
    <w:rPr>
      <w:rFonts w:ascii="Cambria" w:hAnsi="Cambria"/>
      <w:b/>
      <w:color w:val="000000"/>
      <w:spacing w:val="0" w:percent="100"/>
      <w:sz w:val="26"/>
    </w:rPr>
  </w:style>
  <w:style w:type="character" w:styleId="char14">
    <w:name w:val="Emphasis"/>
    <w:rPr>
      <w:i/>
    </w:rPr>
  </w:style>
  <w:style w:type="character" w:styleId="char15" w:customStyle="1">
    <w:name w:val="Основной текст 3 Знак"/>
    <w:basedOn w:val="char1"/>
    <w:rPr>
      <w:rFonts w:ascii="Verdana" w:hAnsi="Verdana"/>
      <w:b/>
      <w:color w:val="000000"/>
      <w:spacing w:val="0" w:percent="100"/>
      <w:sz w:val="24"/>
    </w:rPr>
  </w:style>
  <w:style w:type="character" w:styleId="char16" w:customStyle="1">
    <w:name w:val="Заголовок 41"/>
    <w:basedOn w:val="char1"/>
    <w:rPr>
      <w:rFonts w:ascii="Times New Roman" w:hAnsi="Times New Roman"/>
      <w:color w:val="000000"/>
      <w:spacing w:val="0" w:percent="100"/>
      <w:sz w:val="36"/>
    </w:rPr>
  </w:style>
  <w:style w:type="character" w:styleId="char17" w:customStyle="1">
    <w:name w:val="Основной текст с отступом 2 Знак"/>
    <w:basedOn w:val="char1"/>
    <w:rPr>
      <w:rFonts w:ascii="Times New Roman" w:hAnsi="Times New Roman"/>
      <w:color w:val="000000"/>
      <w:spacing w:val="0" w:percent="100"/>
      <w:sz w:val="28"/>
    </w:rPr>
  </w:style>
  <w:style w:type="character" w:styleId="char18" w:customStyle="1">
    <w:name w:val="Contents 1"/>
    <w:rPr>
      <w:rFonts w:ascii="XO Thames" w:hAnsi="XO Thames"/>
      <w:b/>
      <w:sz w:val="28"/>
    </w:rPr>
  </w:style>
  <w:style w:type="character" w:styleId="char19" w:customStyle="1">
    <w:name w:val="Заголовок1"/>
    <w:rPr>
      <w:rFonts w:ascii="XO Thames" w:hAnsi="XO Thames"/>
      <w:b/>
      <w:caps/>
      <w:sz w:val="40"/>
    </w:rPr>
  </w:style>
  <w:style w:type="character" w:styleId="char20" w:customStyle="1">
    <w:name w:val="Без интервала Знак"/>
    <w:rPr>
      <w:rFonts w:ascii="Calibri" w:hAnsi="Calibri"/>
      <w:color w:val="000000"/>
      <w:spacing w:val="0" w:percent="100"/>
      <w:sz w:val="22"/>
    </w:rPr>
  </w:style>
  <w:style w:type="character" w:styleId="char21" w:customStyle="1">
    <w:name w:val="Заголовок 61"/>
    <w:basedOn w:val="char1"/>
    <w:rPr>
      <w:rFonts w:ascii="Times New Roman" w:hAnsi="Times New Roman"/>
      <w:b/>
      <w:color w:val="000000"/>
      <w:spacing w:val="0" w:percent="100"/>
      <w:sz w:val="22"/>
    </w:rPr>
  </w:style>
  <w:style w:type="character" w:styleId="char22" w:customStyle="1">
    <w:name w:val="Text body"/>
  </w:style>
  <w:style w:type="character" w:styleId="char23" w:customStyle="1">
    <w:name w:val="Оглавление 3 Знак"/>
    <w:rPr>
      <w:rFonts w:ascii="XO Thames" w:hAnsi="XO Thames"/>
      <w:color w:val="000000"/>
      <w:spacing w:val="0" w:percent="100"/>
      <w:sz w:val="28"/>
    </w:rPr>
  </w:style>
  <w:style w:type="character" w:styleId="char24" w:customStyle="1">
    <w:name w:val="Подзаголовок1"/>
    <w:rPr>
      <w:rFonts w:ascii="XO Thames" w:hAnsi="XO Thames"/>
      <w:i/>
      <w:sz w:val="24"/>
    </w:rPr>
  </w:style>
  <w:style w:type="character" w:styleId="char25" w:customStyle="1">
    <w:name w:val="Верхний колонтитул1"/>
  </w:style>
  <w:style w:type="character" w:styleId="char26" w:customStyle="1">
    <w:name w:val="Знак Знак Знак Знак"/>
    <w:basedOn w:val="char1"/>
    <w:rPr>
      <w:rFonts w:ascii="Tahoma" w:hAnsi="Tahoma"/>
      <w:color w:val="000000"/>
      <w:spacing w:val="0" w:percent="100"/>
      <w:sz w:val="20"/>
    </w:rPr>
  </w:style>
  <w:style w:type="character" w:styleId="char27" w:customStyle="1">
    <w:name w:val="Заголовок 51"/>
    <w:rPr>
      <w:b/>
      <w:i/>
      <w:sz w:val="26"/>
    </w:rPr>
  </w:style>
  <w:style w:type="character" w:styleId="char28" w:customStyle="1">
    <w:name w:val="Contents 5"/>
    <w:rPr>
      <w:rFonts w:ascii="XO Thames" w:hAnsi="XO Thames"/>
      <w:sz w:val="28"/>
    </w:rPr>
  </w:style>
  <w:style w:type="character" w:styleId="char29" w:customStyle="1">
    <w:name w:val="Заголовок 1 Знак"/>
    <w:rPr>
      <w:rFonts w:ascii="Times New Roman" w:hAnsi="Times New Roman"/>
      <w:b/>
    </w:rPr>
  </w:style>
  <w:style w:type="character" w:styleId="char30" w:customStyle="1">
    <w:name w:val="Табл_заголовок"/>
    <w:basedOn w:val="char1"/>
    <w:rPr>
      <w:rFonts w:ascii="Times New Roman" w:hAnsi="Times New Roman"/>
      <w:color w:val="333399"/>
      <w:spacing w:val="0" w:percent="100"/>
      <w:sz w:val="28"/>
    </w:rPr>
  </w:style>
  <w:style w:type="character" w:styleId="char31" w:customStyle="1">
    <w:name w:val="Contents 2"/>
    <w:rPr>
      <w:rFonts w:ascii="XO Thames" w:hAnsi="XO Thames"/>
      <w:sz w:val="28"/>
    </w:rPr>
  </w:style>
  <w:style w:type="character" w:styleId="char32" w:customStyle="1">
    <w:name w:val="Абзац списка Знак"/>
    <w:basedOn w:val="char1"/>
    <w:rPr>
      <w:rFonts w:ascii="Arial" w:hAnsi="Arial"/>
      <w:color w:val="000000"/>
      <w:spacing w:val="0" w:percent="100"/>
      <w:sz w:val="20"/>
    </w:rPr>
  </w:style>
  <w:style w:type="character" w:styleId="char33" w:customStyle="1">
    <w:name w:val="Contents 6"/>
    <w:rPr>
      <w:rFonts w:ascii="XO Thames" w:hAnsi="XO Thames"/>
      <w:sz w:val="28"/>
    </w:rPr>
  </w:style>
  <w:style w:type="character" w:styleId="char34" w:customStyle="1">
    <w:name w:val="Заголовок 5 Знак"/>
    <w:basedOn w:val="char1"/>
    <w:rPr>
      <w:rFonts w:ascii="Arial" w:hAnsi="Arial"/>
      <w:b/>
      <w:i/>
      <w:color w:val="000000"/>
      <w:spacing w:val="0" w:percent="100"/>
      <w:sz w:val="26"/>
    </w:rPr>
  </w:style>
  <w:style w:type="character" w:styleId="char35">
    <w:name w:val="Hyperlink"/>
    <w:rPr>
      <w:color w:val="0000ff"/>
      <w:u w:color="auto" w:val="single"/>
    </w:rPr>
  </w:style>
  <w:style w:type="character" w:styleId="char36" w:customStyle="1">
    <w:name w:val="Footnote"/>
    <w:rPr>
      <w:rFonts w:ascii="XO Thames" w:hAnsi="XO Thames"/>
      <w:color w:val="000000"/>
      <w:spacing w:val="0" w:percent="100"/>
      <w:sz w:val="22"/>
    </w:rPr>
  </w:style>
  <w:style w:type="character" w:styleId="char37" w:customStyle="1">
    <w:name w:val="Заголовок 81"/>
    <w:rPr>
      <w:rFonts w:ascii="Times New Roman" w:hAnsi="Times New Roman"/>
      <w:b/>
      <w:i/>
    </w:rPr>
  </w:style>
  <w:style w:type="character" w:styleId="char38" w:customStyle="1">
    <w:name w:val="Колонтитул"/>
    <w:rPr>
      <w:rFonts w:ascii="XO Thames" w:hAnsi="XO Thames"/>
      <w:color w:val="000000"/>
      <w:spacing w:val="0" w:percent="100"/>
      <w:sz w:val="20"/>
    </w:rPr>
  </w:style>
  <w:style w:type="character" w:styleId="char39" w:customStyle="1">
    <w:name w:val="Оглавление 1 Знак"/>
    <w:rPr>
      <w:rFonts w:ascii="XO Thames" w:hAnsi="XO Thames"/>
      <w:b/>
      <w:color w:val="000000"/>
      <w:spacing w:val="0" w:percent="100"/>
      <w:sz w:val="28"/>
    </w:rPr>
  </w:style>
  <w:style w:type="character" w:styleId="char40" w:customStyle="1">
    <w:name w:val="Верхний колонтитул Знак"/>
    <w:basedOn w:val="char1"/>
    <w:rPr>
      <w:rFonts w:ascii="Arial" w:hAnsi="Arial"/>
      <w:color w:val="000000"/>
      <w:spacing w:val="0" w:percent="100"/>
      <w:sz w:val="20"/>
    </w:rPr>
  </w:style>
  <w:style w:type="character" w:styleId="char41" w:customStyle="1">
    <w:name w:val="Header and Footer"/>
    <w:rPr>
      <w:rFonts w:ascii="XO Thames" w:hAnsi="XO Thames"/>
      <w:sz w:val="20"/>
    </w:rPr>
  </w:style>
  <w:style w:type="character" w:styleId="char42" w:customStyle="1">
    <w:name w:val="Содержимое врезки"/>
    <w:basedOn w:val="char1"/>
    <w:rPr>
      <w:rFonts w:ascii="Arial" w:hAnsi="Arial"/>
      <w:color w:val="000000"/>
      <w:spacing w:val="0" w:percent="100"/>
      <w:sz w:val="20"/>
    </w:rPr>
  </w:style>
  <w:style w:type="character" w:styleId="char43" w:customStyle="1">
    <w:name w:val="Оглавление 9 Знак"/>
    <w:rPr>
      <w:rFonts w:ascii="XO Thames" w:hAnsi="XO Thames"/>
      <w:color w:val="000000"/>
      <w:spacing w:val="0" w:percent="100"/>
      <w:sz w:val="28"/>
    </w:rPr>
  </w:style>
  <w:style w:type="character" w:styleId="char44">
    <w:name w:val="Page Number"/>
    <w:basedOn w:val="char0"/>
  </w:style>
  <w:style w:type="character" w:styleId="char45" w:customStyle="1">
    <w:name w:val="Text body indent"/>
    <w:rPr>
      <w:rFonts w:ascii="Times New Roman" w:hAnsi="Times New Roman"/>
      <w:sz w:val="28"/>
    </w:rPr>
  </w:style>
  <w:style w:type="character" w:styleId="char46" w:customStyle="1">
    <w:name w:val="Список Знак"/>
    <w:basedOn w:val="char5"/>
    <w:rPr>
      <w:rFonts w:ascii="PT Astra Serif" w:hAnsi="PT Astra Serif"/>
      <w:color w:val="000000"/>
      <w:spacing w:val="0" w:percent="100"/>
      <w:sz w:val="20"/>
    </w:rPr>
  </w:style>
  <w:style w:type="character" w:styleId="char47" w:customStyle="1">
    <w:name w:val="ConsPlusNormal"/>
    <w:rPr>
      <w:rFonts w:ascii="Arial" w:hAnsi="Arial"/>
      <w:color w:val="000000"/>
      <w:spacing w:val="0" w:percent="100"/>
      <w:sz w:val="20"/>
    </w:rPr>
  </w:style>
  <w:style w:type="character" w:styleId="char48" w:customStyle="1">
    <w:name w:val="Оглавление 8 Знак"/>
    <w:rPr>
      <w:rFonts w:ascii="XO Thames" w:hAnsi="XO Thames"/>
      <w:color w:val="000000"/>
      <w:spacing w:val="0" w:percent="100"/>
      <w:sz w:val="28"/>
    </w:rPr>
  </w:style>
  <w:style w:type="character" w:styleId="char49" w:customStyle="1">
    <w:name w:val="Заголовок 3 Знак"/>
    <w:rPr>
      <w:rFonts w:ascii="Cambria" w:hAnsi="Cambria"/>
      <w:b/>
      <w:sz w:val="26"/>
    </w:rPr>
  </w:style>
  <w:style w:type="character" w:styleId="char50">
    <w:name w:val="FollowedHyperlink"/>
    <w:rPr>
      <w:color w:val="800000"/>
      <w:u w:color="auto" w:val="single"/>
    </w:rPr>
  </w:style>
  <w:style w:type="character" w:styleId="char51" w:customStyle="1">
    <w:name w:val="Internet link"/>
    <w:rPr>
      <w:rFonts w:ascii="Times New Roman" w:hAnsi="Times New Roman"/>
      <w:color w:val="0000ff"/>
      <w:spacing w:val="0" w:percent="100"/>
      <w:sz w:val="20"/>
      <w:u w:color="auto" w:val="single"/>
    </w:rPr>
  </w:style>
  <w:style w:type="character" w:styleId="char52" w:customStyle="1">
    <w:name w:val="Нижний колонтитул1"/>
  </w:style>
  <w:style w:type="character" w:styleId="char53" w:customStyle="1">
    <w:name w:val="Основной текст 21"/>
    <w:basedOn w:val="char1"/>
    <w:rPr>
      <w:rFonts w:ascii="Times New Roman" w:hAnsi="Times New Roman"/>
      <w:color w:val="000000"/>
      <w:spacing w:val="0" w:percent="100"/>
      <w:sz w:val="24"/>
    </w:rPr>
  </w:style>
  <w:style w:type="character" w:styleId="char54" w:customStyle="1">
    <w:name w:val="Оглавление 5 Знак"/>
    <w:rPr>
      <w:rFonts w:ascii="XO Thames" w:hAnsi="XO Thames"/>
      <w:color w:val="000000"/>
      <w:spacing w:val="0" w:percent="100"/>
      <w:sz w:val="28"/>
    </w:rPr>
  </w:style>
  <w:style w:type="character" w:styleId="char55" w:customStyle="1">
    <w:name w:val="Основной текст 2 Знак"/>
    <w:basedOn w:val="char1"/>
    <w:rPr>
      <w:rFonts w:ascii="Arial" w:hAnsi="Arial"/>
      <w:color w:val="000000"/>
      <w:spacing w:val="0" w:percent="100"/>
      <w:sz w:val="20"/>
    </w:rPr>
  </w:style>
  <w:style w:type="character" w:styleId="char56" w:customStyle="1">
    <w:name w:val="Заголовок 8 Знак"/>
    <w:basedOn w:val="char1"/>
    <w:rPr>
      <w:rFonts w:ascii="Times New Roman" w:hAnsi="Times New Roman"/>
      <w:b/>
      <w:i/>
      <w:color w:val="000000"/>
      <w:spacing w:val="0" w:percent="100"/>
      <w:sz w:val="20"/>
    </w:rPr>
  </w:style>
  <w:style w:type="character" w:styleId="char57" w:customStyle="1">
    <w:name w:val="Заголовок2"/>
    <w:basedOn w:val="char1"/>
    <w:rPr>
      <w:rFonts w:ascii="PT Astra Serif" w:hAnsi="PT Astra Serif"/>
      <w:color w:val="000000"/>
      <w:spacing w:val="0" w:percent="100"/>
      <w:sz w:val="28"/>
    </w:rPr>
  </w:style>
  <w:style w:type="character" w:styleId="char58" w:customStyle="1">
    <w:name w:val="Нижний колонтитул Знак"/>
    <w:basedOn w:val="char1"/>
    <w:rPr>
      <w:rFonts w:ascii="Arial" w:hAnsi="Arial"/>
      <w:color w:val="000000"/>
      <w:spacing w:val="0" w:percent="100"/>
      <w:sz w:val="20"/>
    </w:rPr>
  </w:style>
  <w:style w:type="character" w:styleId="char59" w:customStyle="1">
    <w:name w:val="Подзаголовок Знак"/>
    <w:rPr>
      <w:rFonts w:ascii="XO Thames" w:hAnsi="XO Thames"/>
      <w:i/>
      <w:color w:val="000000"/>
      <w:spacing w:val="0" w:percent="100"/>
      <w:sz w:val="24"/>
    </w:rPr>
  </w:style>
  <w:style w:type="character" w:styleId="char60" w:customStyle="1">
    <w:name w:val="Contents 7"/>
    <w:rPr>
      <w:rFonts w:ascii="XO Thames" w:hAnsi="XO Thames"/>
      <w:sz w:val="28"/>
    </w:rPr>
  </w:style>
  <w:style w:type="character" w:styleId="char61" w:customStyle="1">
    <w:name w:val="Текст Знак"/>
    <w:basedOn w:val="char1"/>
    <w:rPr>
      <w:rFonts w:ascii="Courier New" w:hAnsi="Courier New"/>
      <w:color w:val="000000"/>
      <w:spacing w:val="0" w:percent="100"/>
      <w:sz w:val="20"/>
    </w:rPr>
  </w:style>
  <w:style w:type="character" w:styleId="char62" w:customStyle="1">
    <w:name w:val="Default"/>
    <w:rPr>
      <w:rFonts w:ascii="Times New Roman" w:hAnsi="Times New Roman"/>
      <w:color w:val="000000"/>
      <w:spacing w:val="0" w:percent="100"/>
      <w:sz w:val="24"/>
    </w:rPr>
  </w:style>
  <w:style w:type="character" w:styleId="char63" w:customStyle="1">
    <w:name w:val="Название объекта Знак"/>
    <w:basedOn w:val="char1"/>
    <w:rPr>
      <w:rFonts w:ascii="PT Astra Serif" w:hAnsi="PT Astra Serif"/>
      <w:i/>
      <w:color w:val="000000"/>
      <w:spacing w:val="0" w:percent="100"/>
      <w:sz w:val="24"/>
    </w:rPr>
  </w:style>
  <w:style w:type="character" w:styleId="char64" w:customStyle="1">
    <w:name w:val="Обычный (веб) Знак"/>
    <w:basedOn w:val="char1"/>
    <w:rPr>
      <w:rFonts w:ascii="Times New Roman" w:hAnsi="Times New Roman"/>
      <w:color w:val="000000"/>
      <w:spacing w:val="0" w:percent="100"/>
      <w:sz w:val="24"/>
    </w:rPr>
  </w:style>
  <w:style w:type="character" w:styleId="char65" w:customStyle="1">
    <w:name w:val="Заголовок Знак"/>
    <w:rPr>
      <w:rFonts w:ascii="XO Thames" w:hAnsi="XO Thames"/>
      <w:b/>
      <w:caps/>
      <w:color w:val="000000"/>
      <w:spacing w:val="0" w:percent="100"/>
      <w:sz w:val="40"/>
    </w:rPr>
  </w:style>
  <w:style w:type="character" w:styleId="char66">
    <w:name w:val="Strong"/>
    <w:rPr>
      <w:rFonts w:ascii="Times New Roman" w:hAnsi="Times New Roman"/>
      <w:b/>
      <w:color w:val="000000"/>
      <w:spacing w:val="0" w:percent="100"/>
      <w:sz w:val="20"/>
    </w:rPr>
  </w:style>
  <w:style w:type="character" w:styleId="char67" w:customStyle="1">
    <w:name w:val="Заголовок 4 Знак"/>
    <w:rPr>
      <w:rFonts w:ascii="Times New Roman" w:hAnsi="Times New Roman"/>
      <w:sz w:val="36"/>
    </w:rPr>
  </w:style>
  <w:style w:type="character" w:styleId="char68" w:customStyle="1">
    <w:name w:val="Абзац"/>
    <w:basedOn w:val="char64"/>
    <w:rPr>
      <w:rFonts w:ascii="Arial" w:hAnsi="Arial"/>
      <w:b/>
      <w:color w:val="000000"/>
      <w:spacing w:val="0" w:percent="100"/>
      <w:sz w:val="32"/>
    </w:rPr>
  </w:style>
  <w:style w:type="character" w:styleId="char69" w:customStyle="1">
    <w:name w:val="Contents 3"/>
    <w:rPr>
      <w:rFonts w:ascii="XO Thames" w:hAnsi="XO Thames"/>
      <w:sz w:val="28"/>
    </w:rPr>
  </w:style>
  <w:style w:type="character" w:styleId="char70" w:customStyle="1">
    <w:name w:val="Заголовок 2 Знак"/>
    <w:rPr>
      <w:rFonts w:ascii="Times New Roman" w:hAnsi="Times New Roman"/>
      <w:i/>
    </w:rPr>
  </w:style>
  <w:style w:type="character" w:styleId="char71" w:customStyle="1">
    <w:name w:val="Указатель Знак"/>
    <w:basedOn w:val="char1"/>
    <w:rPr>
      <w:rFonts w:ascii="PT Astra Serif" w:hAnsi="PT Astra Serif"/>
      <w:color w:val="000000"/>
      <w:spacing w:val="0" w:percent="100"/>
      <w:sz w:val="20"/>
    </w:rPr>
  </w:style>
  <w:style w:type="character" w:styleId="char72" w:customStyle="1">
    <w:name w:val="Contents 9"/>
    <w:rPr>
      <w:rFonts w:ascii="XO Thames" w:hAnsi="XO Thames"/>
      <w:sz w:val="28"/>
    </w:rPr>
  </w:style>
  <w:style w:type="character" w:styleId="char73" w:customStyle="1">
    <w:name w:val="apple-converted-space"/>
    <w:rPr>
      <w:rFonts w:ascii="Times New Roman" w:hAnsi="Times New Roman"/>
      <w:color w:val="000000"/>
      <w:spacing w:val="0" w:percent="100"/>
      <w:sz w:val="20"/>
    </w:rPr>
  </w:style>
  <w:style w:type="character" w:styleId="char74" w:customStyle="1">
    <w:name w:val="Contents 8"/>
    <w:rPr>
      <w:rFonts w:ascii="XO Thames" w:hAnsi="XO Thames"/>
      <w:sz w:val="28"/>
    </w:rPr>
  </w:style>
  <w:style w:type="character" w:styleId="char75" w:customStyle="1">
    <w:name w:val="Заголовок 6 Знак"/>
    <w:rPr>
      <w:rFonts w:ascii="Times New Roman" w:hAnsi="Times New Roman"/>
      <w:b/>
      <w:sz w:val="22"/>
    </w:rPr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NormalTable">
    <w:name w:val="Normal Tab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NormalTable"/>
    <w:tblPr>
      <w:tblBorders>
        <w:top w:val="single" w:sz="12" w:space="0" w:color="008080" tmln="30, 0, 0, 0, 0"/>
        <w:left w:val="single" w:sz="6" w:space="0" w:color="008080" tmln="15, 0, 0, 0, 0"/>
        <w:bottom w:val="single" w:sz="12" w:space="0" w:color="008080" tmln="30, 0, 0, 0, 0"/>
        <w:right w:val="single" w:sz="6" w:space="0" w:color="008080" tmln="15, 0, 0, 0, 0"/>
      </w:tblBorders>
    </w:tblPr>
  </w:style>
  <w:style w:type="table" w:styleId="LightGridAccent3">
    <w:name w:val="Light Grid Accent 3"/>
    <w:basedOn w:val="TableList1"/>
    <w:uiPriority w:val="62"/>
    <w:tblPr>
      <w:tblBorders>
        <w:top w:val="single" w:sz="8" w:space="0" w:color="9BBB59" tmln="20, 0, 0, 0, 0"/>
        <w:left w:val="single" w:sz="8" w:space="0" w:color="9BBB59" tmln="20, 0, 0, 0, 0"/>
        <w:bottom w:val="single" w:sz="8" w:space="0" w:color="9BBB59" tmln="20, 0, 0, 0, 0"/>
        <w:right w:val="single" w:sz="8" w:space="0" w:color="9BBB59" tmln="20, 0, 0, 0, 0"/>
        <w:insideH w:val="single" w:sz="8" w:space="0" w:color="9BBB59" tmln="20, 0, 0, 0, 0"/>
        <w:insideV w:val="single" w:sz="8" w:space="0" w:color="9BBB59" tmln="20, 0, 0, 0, 0"/>
      </w:tblBorders>
    </w:tblPr>
  </w:style>
  <w:style w:type="table" w:styleId="MediumShading2Accent3">
    <w:name w:val="Medium Shading 2 Accent 3"/>
    <w:basedOn w:val="NormalTable"/>
    <w:uiPriority w:val="64"/>
    <w:tblPr>
      <w:tblBorders>
        <w:top w:val="single" w:sz="18" w:space="0" w:color="000000" tmln="45, 0, 0, 0, 0"/>
        <w:bottom w:val="single" w:sz="18" w:space="0" w:color="000000" tmln="45, 0, 0, 0, 0"/>
      </w:tblBorders>
    </w:tblPr>
  </w:style>
  <w:style w:type="table" w:styleId="MediumGrid3Accent3">
    <w:name w:val="Medium Grid 3 Accent 3"/>
    <w:basedOn w:val="MediumShading2Accent3"/>
    <w:uiPriority w:val="69"/>
    <w:tblPr>
      <w:tblBorders>
        <w:top w:val="single" w:sz="8" w:space="0" w:color="FFFFFF" tmln="20, 0, 0, 0, 0"/>
        <w:left w:val="single" w:sz="8" w:space="0" w:color="FFFFFF" tmln="20, 0, 0, 0, 0"/>
        <w:bottom w:val="single" w:sz="8" w:space="0" w:color="FFFFFF" tmln="20, 0, 0, 0, 0"/>
        <w:right w:val="single" w:sz="8" w:space="0" w:color="FFFFFF" tmln="20, 0, 0, 0, 0"/>
        <w:insideH w:val="single" w:sz="6" w:space="0" w:color="FFFFFF" tmln="15, 0, 0, 0, 0"/>
        <w:insideV w:val="single" w:sz="6" w:space="0" w:color="FFFFFF" tmln="15, 0, 0, 0, 0"/>
      </w:tblBorders>
    </w:tblPr>
  </w:style>
  <w:style w:type="table" w:styleId="4">
    <w:name w:val="Стиль4"/>
    <w:basedOn w:val="MediumGrid3Accent3"/>
    <w:tblPr/>
  </w:style>
  <w:style w:type="table" w:styleId="TableList8">
    <w:name w:val="Table List 8"/>
    <w:basedOn w:val="NormalTable"/>
    <w:tblPr>
      <w:tblBorders>
        <w:top w:val="single" w:sz="6" w:space="0" w:color="000000" tmln="15, 0, 0, 0, 0"/>
        <w:left w:val="single" w:sz="6" w:space="0" w:color="000000" tmln="15, 0, 0, 0, 0"/>
        <w:bottom w:val="single" w:sz="6" w:space="0" w:color="000000" tmln="15, 0, 0, 0, 0"/>
        <w:right w:val="single" w:sz="6" w:space="0" w:color="000000" tmln="15, 0, 0, 0, 0"/>
        <w:insideV w:val="single" w:sz="6" w:space="0" w:color="000000" tmln="15, 0, 0, 0, 0"/>
      </w:tblBorders>
    </w:tblPr>
  </w:style>
  <w:style w:type="table" w:styleId="LightShadingAccent2">
    <w:name w:val="Light Shading Accent 2"/>
    <w:basedOn w:val="NormalTable"/>
    <w:uiPriority w:val="60"/>
    <w:rPr>
      <w:color w:val="943634"/>
    </w:rPr>
    <w:tblPr>
      <w:tblBorders>
        <w:top w:val="single" w:sz="8" w:space="0" w:color="C0504D" tmln="20, 0, 0, 0, 0"/>
        <w:bottom w:val="single" w:sz="8" w:space="0" w:color="C0504D" tmln="20, 0, 0, 0, 0"/>
      </w:tblBorders>
    </w:tblPr>
  </w:style>
  <w:style w:type="table" w:styleId="2">
    <w:name w:val="Стиль2"/>
    <w:basedOn w:val="NormalTable"/>
    <w:tblPr/>
  </w:style>
  <w:style w:type="table" w:styleId="ColorfulListAccent3">
    <w:name w:val="Colorful List Accent 3"/>
    <w:basedOn w:val="NormalTable"/>
    <w:uiPriority w:val="72"/>
    <w:tblPr/>
  </w:style>
  <w:style w:type="table" w:styleId="7">
    <w:name w:val="Стиль7"/>
    <w:basedOn w:val="LightGridAccent3"/>
    <w:tblPr/>
  </w:style>
  <w:style w:type="table" w:styleId="ColorfulShadingAccent3">
    <w:name w:val="Colorful Shading Accent 3"/>
    <w:basedOn w:val="NormalTable"/>
    <w:uiPriority w:val="71"/>
    <w:tblPr>
      <w:tblBorders>
        <w:top w:val="single" w:sz="24" w:space="0" w:color="8064A2" tmln="60, 0, 0, 0, 0"/>
        <w:left w:val="single" w:sz="4" w:space="0" w:color="9BBB59" tmln="10, 0, 0, 0, 0"/>
        <w:bottom w:val="single" w:sz="4" w:space="0" w:color="9BBB59" tmln="10, 0, 0, 0, 0"/>
        <w:right w:val="single" w:sz="4" w:space="0" w:color="9BBB59" tmln="10, 0, 0, 0, 0"/>
        <w:insideH w:val="single" w:sz="4" w:space="0" w:color="FFFFFF" tmln="10, 0, 0, 0, 0"/>
        <w:insideV w:val="single" w:sz="4" w:space="0" w:color="FFFFFF" tmln="10, 0, 0, 0, 0"/>
      </w:tblBorders>
    </w:tblPr>
  </w:style>
  <w:style w:type="table" w:styleId="Table3Deffects2">
    <w:name w:val="Table 3D effects 2"/>
    <w:basedOn w:val="NormalTable"/>
    <w:tblPr/>
  </w:style>
  <w:style w:type="table" w:styleId="MediumGrid1Accent3">
    <w:name w:val="Medium Grid 1 Accent 3"/>
    <w:basedOn w:val="NormalTable"/>
    <w:uiPriority w:val="67"/>
    <w:tblPr>
      <w:tblBorders>
        <w:top w:val="single" w:sz="8" w:space="0" w:color="B3CC82" tmln="20, 0, 0, 0, 0"/>
        <w:left w:val="single" w:sz="8" w:space="0" w:color="B3CC82" tmln="20, 0, 0, 0, 0"/>
        <w:bottom w:val="single" w:sz="8" w:space="0" w:color="B3CC82" tmln="20, 0, 0, 0, 0"/>
        <w:right w:val="single" w:sz="8" w:space="0" w:color="B3CC82" tmln="20, 0, 0, 0, 0"/>
        <w:insideH w:val="single" w:sz="8" w:space="0" w:color="B3CC82" tmln="20, 0, 0, 0, 0"/>
        <w:insideV w:val="single" w:sz="8" w:space="0" w:color="B3CC82" tmln="20, 0, 0, 0, 0"/>
      </w:tblBorders>
    </w:tblPr>
  </w:style>
  <w:style w:type="table" w:styleId="3">
    <w:name w:val="Стиль3"/>
    <w:basedOn w:val="TableList8"/>
    <w:tblPr/>
  </w:style>
  <w:style w:type="table" w:styleId="LightListAccent3">
    <w:name w:val="Light List Accent 3"/>
    <w:basedOn w:val="NormalTable"/>
    <w:uiPriority w:val="61"/>
    <w:tblPr>
      <w:tblBorders>
        <w:top w:val="single" w:sz="8" w:space="0" w:color="9BBB59" tmln="20, 0, 0, 0, 0"/>
        <w:left w:val="single" w:sz="8" w:space="0" w:color="9BBB59" tmln="20, 0, 0, 0, 0"/>
        <w:bottom w:val="single" w:sz="8" w:space="0" w:color="9BBB59" tmln="20, 0, 0, 0, 0"/>
        <w:right w:val="single" w:sz="8" w:space="0" w:color="9BBB59" tmln="20, 0, 0, 0, 0"/>
      </w:tblBorders>
    </w:tblPr>
  </w:style>
  <w:style w:type="table" w:styleId="TableSubtle1">
    <w:name w:val="Table Subtle 1"/>
    <w:basedOn w:val="NormalTable"/>
    <w:tblPr/>
  </w:style>
  <w:style w:type="table" w:styleId="LightShadingAccent3">
    <w:name w:val="Light Shading Accent 3"/>
    <w:basedOn w:val="TableSubtle1"/>
    <w:uiPriority w:val="60"/>
    <w:pPr>
      <w:spacing/>
      <w:jc w:val="left"/>
    </w:pPr>
    <w:rPr>
      <w:color w:val="76923c"/>
    </w:rPr>
    <w:tblPr>
      <w:tblBorders>
        <w:top w:val="single" w:sz="8" w:space="0" w:color="9BBB59" tmln="20, 0, 0, 0, 0"/>
        <w:bottom w:val="single" w:sz="8" w:space="0" w:color="9BBB59" tmln="20, 0, 0, 0, 0"/>
      </w:tblBorders>
    </w:tblPr>
  </w:style>
  <w:style w:type="table" w:styleId="6">
    <w:name w:val="Стиль6"/>
    <w:basedOn w:val="LightListAccent3"/>
    <w:tblPr/>
  </w:style>
  <w:style w:type="table" w:styleId="MediumShading1Accent3">
    <w:name w:val="Medium Shading 1 Accent 3"/>
    <w:basedOn w:val="NormalTable"/>
    <w:uiPriority w:val="63"/>
    <w:tblPr>
      <w:tblBorders>
        <w:top w:val="single" w:sz="8" w:space="0" w:color="B3CC82" tmln="20, 0, 0, 0, 0"/>
        <w:left w:val="single" w:sz="8" w:space="0" w:color="B3CC82" tmln="20, 0, 0, 0, 0"/>
        <w:bottom w:val="single" w:sz="8" w:space="0" w:color="B3CC82" tmln="20, 0, 0, 0, 0"/>
        <w:right w:val="single" w:sz="8" w:space="0" w:color="B3CC82" tmln="20, 0, 0, 0, 0"/>
        <w:insideH w:val="single" w:sz="8" w:space="0" w:color="B3CC82" tmln="20, 0, 0, 0, 0"/>
      </w:tblBorders>
    </w:tblPr>
  </w:style>
  <w:style w:type="table" w:styleId="TableGrid">
    <w:name w:val="Сетка таблицы"/>
    <w:basedOn w:val="NormalTable"/>
    <w:tblPr>
      <w:tblBorders>
        <w:top w:val="single" w:sz="4" w:space="0" w:color="000000" tmln="10, 0, 0, 0, 0"/>
        <w:left w:val="single" w:sz="4" w:space="0" w:color="000000" tmln="10, 0, 0, 0, 0"/>
        <w:bottom w:val="single" w:sz="4" w:space="0" w:color="000000" tmln="10, 0, 0, 0, 0"/>
        <w:right w:val="single" w:sz="4" w:space="0" w:color="000000" tmln="10, 0, 0, 0, 0"/>
        <w:insideH w:val="single" w:sz="4" w:space="0" w:color="000000" tmln="10, 0, 0, 0, 0"/>
        <w:insideV w:val="single" w:sz="4" w:space="0" w:color="000000" tmln="10, 0, 0, 0, 0"/>
      </w:tblBorders>
    </w:tblPr>
  </w:style>
  <w:style w:type="table" w:styleId="MediumGrid2Accent4">
    <w:name w:val="Medium Grid 2 Accent 4"/>
    <w:basedOn w:val="NormalTable"/>
    <w:uiPriority w:val="68"/>
    <w:tblPr>
      <w:tblBorders>
        <w:top w:val="single" w:sz="8" w:space="0" w:color="8064A2" tmln="20, 0, 0, 0, 0"/>
        <w:left w:val="single" w:sz="8" w:space="0" w:color="8064A2" tmln="20, 0, 0, 0, 0"/>
        <w:bottom w:val="single" w:sz="8" w:space="0" w:color="8064A2" tmln="20, 0, 0, 0, 0"/>
        <w:right w:val="single" w:sz="8" w:space="0" w:color="8064A2" tmln="20, 0, 0, 0, 0"/>
        <w:insideH w:val="single" w:sz="8" w:space="0" w:color="8064A2" tmln="20, 0, 0, 0, 0"/>
        <w:insideV w:val="single" w:sz="8" w:space="0" w:color="8064A2" tmln="20, 0, 0, 0, 0"/>
      </w:tblBorders>
    </w:tblPr>
  </w:style>
  <w:style w:type="table" w:styleId="9">
    <w:name w:val="Стиль9"/>
    <w:basedOn w:val="LightListAccent3"/>
    <w:tblPr/>
  </w:style>
  <w:style w:type="table" w:styleId="8">
    <w:name w:val="Стиль8"/>
    <w:basedOn w:val="NormalTable"/>
    <w:tblPr/>
  </w:style>
  <w:style w:type="table" w:styleId="LightShadingAccent4">
    <w:name w:val="Light Shading Accent 4"/>
    <w:basedOn w:val="NormalTable"/>
    <w:uiPriority w:val="60"/>
    <w:rPr>
      <w:color w:val="5f497a"/>
    </w:rPr>
    <w:tblPr>
      <w:tblBorders>
        <w:top w:val="single" w:sz="8" w:space="0" w:color="8064A2" tmln="20, 0, 0, 0, 0"/>
        <w:bottom w:val="single" w:sz="8" w:space="0" w:color="8064A2" tmln="20, 0, 0, 0, 0"/>
      </w:tblBorders>
    </w:tblPr>
  </w:style>
  <w:style w:type="table" w:styleId="5">
    <w:name w:val="Стиль5"/>
    <w:basedOn w:val="ColorfulListAccent3"/>
    <w:tblPr/>
  </w:style>
  <w:style w:type="table" w:styleId="1">
    <w:name w:val="Стиль1"/>
    <w:basedOn w:val="Table3Deffects2"/>
    <w:tblPr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docDefaults>
    <w:rPrDefault>
      <w:rPr>
        <w:rFonts w:ascii="Times New Roman" w:hAnsi="Times New Roman" w:eastAsia="Times New Roman" w:cs="Times New Roman"/>
        <w:color w:val="000000"/>
        <w:sz w:val="20"/>
        <w:szCs w:val="20"/>
        <w:lang w:val="ru-ru" w:eastAsia="ru-ru" w:bidi="ar-sa"/>
      </w:rPr>
    </w:rPrDefault>
    <w:pPrDefault>
      <w:pPr>
        <w:spacing/>
        <w:jc w:val="both"/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rPr>
      <w:rFonts w:ascii="Arial" w:hAnsi="Arial"/>
    </w:rPr>
  </w:style>
  <w:style w:type="paragraph" w:styleId="para1">
    <w:name w:val="heading 1"/>
    <w:qFormat/>
    <w:pPr>
      <w:spacing/>
      <w:jc w:val="left"/>
      <w:outlineLvl w:val="0"/>
      <w:widowControl/>
    </w:pPr>
    <w:rPr>
      <w:rFonts w:ascii="Times New Roman" w:hAnsi="Times New Roman" w:eastAsia="Times New Roman" w:cs="Times New Roman"/>
      <w:b/>
      <w:color w:val="000000"/>
      <w:lang w:val="ru-ru" w:eastAsia="ru-ru" w:bidi="ar-sa"/>
    </w:rPr>
  </w:style>
  <w:style w:type="paragraph" w:styleId="para2">
    <w:name w:val="heading 2"/>
    <w:qFormat/>
    <w:pPr>
      <w:spacing/>
      <w:jc w:val="left"/>
      <w:outlineLvl w:val="1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3">
    <w:name w:val="heading 3"/>
    <w:qFormat/>
    <w:pPr>
      <w:spacing/>
      <w:jc w:val="left"/>
      <w:outlineLvl w:val="2"/>
      <w:widowControl/>
    </w:pPr>
    <w:rPr>
      <w:rFonts w:ascii="Cambria" w:hAnsi="Cambria" w:eastAsia="Times New Roman" w:cs="Times New Roman"/>
      <w:b/>
      <w:color w:val="000000"/>
      <w:sz w:val="26"/>
      <w:lang w:val="ru-ru" w:eastAsia="ru-ru" w:bidi="ar-sa"/>
    </w:rPr>
  </w:style>
  <w:style w:type="paragraph" w:styleId="para4">
    <w:name w:val="heading 4"/>
    <w:qFormat/>
    <w:pPr>
      <w:spacing/>
      <w:jc w:val="left"/>
      <w:outlineLvl w:val="3"/>
      <w:widowControl/>
    </w:pPr>
    <w:rPr>
      <w:rFonts w:ascii="Times New Roman" w:hAnsi="Times New Roman" w:eastAsia="Times New Roman" w:cs="Times New Roman"/>
      <w:color w:val="000000"/>
      <w:sz w:val="36"/>
      <w:lang w:val="ru-ru" w:eastAsia="ru-ru" w:bidi="ar-sa"/>
    </w:rPr>
  </w:style>
  <w:style w:type="paragraph" w:styleId="para5">
    <w:name w:val="heading 5"/>
    <w:qFormat/>
    <w:basedOn w:val="para0"/>
    <w:next w:val="para0"/>
    <w:pPr>
      <w:spacing w:before="240" w:after="60"/>
      <w:outlineLvl w:val="4"/>
    </w:pPr>
    <w:rPr>
      <w:b/>
      <w:i/>
      <w:sz w:val="26"/>
    </w:rPr>
  </w:style>
  <w:style w:type="paragraph" w:styleId="para6">
    <w:name w:val="heading 6"/>
    <w:qFormat/>
    <w:pPr>
      <w:spacing/>
      <w:jc w:val="left"/>
      <w:outlineLvl w:val="5"/>
      <w:widowControl/>
    </w:pPr>
    <w:rPr>
      <w:rFonts w:ascii="Times New Roman" w:hAnsi="Times New Roman" w:eastAsia="Times New Roman" w:cs="Times New Roman"/>
      <w:b/>
      <w:color w:val="000000"/>
      <w:sz w:val="22"/>
      <w:lang w:val="ru-ru" w:eastAsia="ru-ru" w:bidi="ar-sa"/>
    </w:rPr>
  </w:style>
  <w:style w:type="paragraph" w:styleId="para7">
    <w:name w:val="heading 8"/>
    <w:qFormat/>
    <w:basedOn w:val="para0"/>
    <w:next w:val="para0"/>
    <w:pPr>
      <w:keepNext/>
      <w:outlineLvl w:val="7"/>
      <w:widowControl/>
    </w:pPr>
    <w:rPr>
      <w:rFonts w:ascii="Times New Roman" w:hAnsi="Times New Roman"/>
      <w:b/>
      <w:i/>
    </w:rPr>
  </w:style>
  <w:style w:type="paragraph" w:styleId="para8" w:customStyle="1">
    <w:name w:val="Contents 4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9">
    <w:name w:val="toc 2"/>
    <w:qFormat/>
    <w:next w:val="para0"/>
    <w:pPr>
      <w:ind w:left="2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0">
    <w:name w:val="toc 4"/>
    <w:qFormat/>
    <w:next w:val="para0"/>
    <w:pPr>
      <w:ind w:left="6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1">
    <w:name w:val="Body Text"/>
    <w:qFormat/>
    <w:basedOn w:val="para0"/>
    <w:pPr>
      <w:spacing w:after="120"/>
    </w:pPr>
  </w:style>
  <w:style w:type="paragraph" w:styleId="para12">
    <w:name w:val="Body Text Indent"/>
    <w:qFormat/>
    <w:basedOn w:val="para0"/>
    <w:pPr>
      <w:ind w:left="283"/>
      <w:spacing w:after="120"/>
      <w:widowControl/>
    </w:pPr>
    <w:rPr>
      <w:rFonts w:ascii="Times New Roman" w:hAnsi="Times New Roman"/>
      <w:sz w:val="28"/>
    </w:rPr>
  </w:style>
  <w:style w:type="paragraph" w:styleId="para13" w:customStyle="1">
    <w:name w:val="Обычный1"/>
    <w:qFormat/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14" w:customStyle="1">
    <w:name w:val="Основной текст 31"/>
    <w:qFormat/>
    <w:basedOn w:val="para0"/>
    <w:pPr>
      <w:widowControl/>
    </w:pPr>
    <w:rPr>
      <w:rFonts w:ascii="Verdana" w:hAnsi="Verdana"/>
      <w:b/>
      <w:sz w:val="24"/>
    </w:rPr>
  </w:style>
  <w:style w:type="paragraph" w:styleId="para15">
    <w:name w:val="toc 6"/>
    <w:qFormat/>
    <w:next w:val="para0"/>
    <w:pPr>
      <w:ind w:left="10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6">
    <w:name w:val="toc 7"/>
    <w:qFormat/>
    <w:next w:val="para0"/>
    <w:pPr>
      <w:ind w:left="12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17">
    <w:name w:val="Balloon Text"/>
    <w:qFormat/>
    <w:basedOn w:val="para0"/>
    <w:rPr>
      <w:rFonts w:ascii="Tahoma" w:hAnsi="Tahoma"/>
      <w:sz w:val="16"/>
    </w:rPr>
  </w:style>
  <w:style w:type="paragraph" w:styleId="para18" w:customStyle="1">
    <w:name w:val="Выделение1"/>
    <w:qFormat/>
    <w:pPr>
      <w:spacing/>
      <w:jc w:val="left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19">
    <w:name w:val="Body Text 3"/>
    <w:qFormat/>
    <w:basedOn w:val="para0"/>
    <w:pPr>
      <w:spacing/>
      <w:jc w:val="left"/>
      <w:widowControl/>
    </w:pPr>
    <w:rPr>
      <w:rFonts w:ascii="Verdana" w:hAnsi="Verdana"/>
      <w:b/>
      <w:sz w:val="24"/>
    </w:rPr>
  </w:style>
  <w:style w:type="paragraph" w:styleId="para20">
    <w:name w:val="Body Text Indent 2"/>
    <w:qFormat/>
    <w:basedOn w:val="para0"/>
    <w:pPr>
      <w:ind w:left="283"/>
      <w:spacing w:after="120" w:line="480" w:lineRule="auto"/>
      <w:widowControl/>
    </w:pPr>
    <w:rPr>
      <w:rFonts w:ascii="Times New Roman" w:hAnsi="Times New Roman"/>
      <w:sz w:val="28"/>
    </w:rPr>
  </w:style>
  <w:style w:type="paragraph" w:styleId="para21" w:customStyle="1">
    <w:name w:val="Contents 1"/>
    <w:qFormat/>
    <w:pPr>
      <w:spacing/>
      <w:jc w:val="left"/>
      <w:widowControl/>
    </w:pPr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para22">
    <w:name w:val="Title"/>
    <w:qFormat/>
    <w:next w:val="para0"/>
    <w:pPr>
      <w:spacing w:before="567" w:after="567"/>
      <w:jc w:val="center"/>
      <w:widowControl/>
    </w:pPr>
    <w:rPr>
      <w:rFonts w:ascii="XO Thames" w:hAnsi="XO Thames" w:eastAsia="Times New Roman" w:cs="Times New Roman"/>
      <w:b/>
      <w:caps/>
      <w:color w:val="000000"/>
      <w:sz w:val="40"/>
      <w:lang w:val="ru-ru" w:eastAsia="ru-ru" w:bidi="ar-sa"/>
    </w:rPr>
  </w:style>
  <w:style w:type="paragraph" w:styleId="para23">
    <w:name w:val="No Spacing"/>
    <w:qFormat/>
    <w:pPr>
      <w:spacing/>
      <w:jc w:val="left"/>
      <w:widowControl/>
    </w:pPr>
    <w:rPr>
      <w:rFonts w:ascii="Calibri" w:hAnsi="Calibri" w:eastAsia="Times New Roman" w:cs="Times New Roman"/>
      <w:color w:val="000000"/>
      <w:sz w:val="22"/>
      <w:lang w:val="ru-ru" w:eastAsia="ru-ru" w:bidi="ar-sa"/>
    </w:rPr>
  </w:style>
  <w:style w:type="paragraph" w:styleId="para24" w:customStyle="1">
    <w:name w:val="Text body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25">
    <w:name w:val="toc 3"/>
    <w:qFormat/>
    <w:next w:val="para0"/>
    <w:pPr>
      <w:ind w:left="4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26">
    <w:name w:val="Subtitle"/>
    <w:qFormat/>
    <w:next w:val="para0"/>
    <w:pPr>
      <w:widowControl/>
    </w:pPr>
    <w:rPr>
      <w:rFonts w:ascii="XO Thames" w:hAnsi="XO Thames" w:eastAsia="Times New Roman" w:cs="Times New Roman"/>
      <w:i/>
      <w:color w:val="000000"/>
      <w:sz w:val="24"/>
      <w:lang w:val="ru-ru" w:eastAsia="ru-ru" w:bidi="ar-sa"/>
    </w:rPr>
  </w:style>
  <w:style w:type="paragraph" w:styleId="para27">
    <w:name w:val="Header"/>
    <w:qFormat/>
    <w:basedOn w:val="para0"/>
    <w:pPr>
      <w:tabs defTabSz="709">
        <w:tab w:val="center" w:pos="4677" w:leader="none"/>
        <w:tab w:val="right" w:pos="9355" w:leader="none"/>
      </w:tabs>
    </w:pPr>
  </w:style>
  <w:style w:type="paragraph" w:styleId="para28" w:customStyle="1">
    <w:name w:val="Знак Знак Знак Знак"/>
    <w:qFormat/>
    <w:basedOn w:val="para0"/>
    <w:pPr>
      <w:spacing w:beforeAutospacing="1" w:afterAutospacing="1"/>
      <w:widowControl/>
    </w:pPr>
    <w:rPr>
      <w:rFonts w:ascii="Tahoma" w:hAnsi="Tahoma"/>
    </w:rPr>
  </w:style>
  <w:style w:type="paragraph" w:styleId="para29" w:customStyle="1">
    <w:name w:val="Contents 5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0" w:customStyle="1">
    <w:name w:val="Табл_заголовок"/>
    <w:qFormat/>
    <w:basedOn w:val="para0"/>
    <w:pPr>
      <w:spacing/>
      <w:jc w:val="center"/>
      <w:widowControl/>
    </w:pPr>
    <w:rPr>
      <w:rFonts w:ascii="Times New Roman" w:hAnsi="Times New Roman"/>
      <w:color w:val="333399"/>
      <w:sz w:val="28"/>
    </w:rPr>
  </w:style>
  <w:style w:type="paragraph" w:styleId="para31" w:customStyle="1">
    <w:name w:val="Contents 2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2">
    <w:name w:val="List Paragraph"/>
    <w:qFormat/>
    <w:basedOn w:val="para0"/>
    <w:pPr>
      <w:ind w:left="720"/>
      <w:spacing/>
      <w:contextualSpacing/>
      <w:jc w:val="left"/>
    </w:pPr>
  </w:style>
  <w:style w:type="paragraph" w:styleId="para33" w:customStyle="1">
    <w:name w:val="Contents 6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34" w:customStyle="1">
    <w:name w:val="Гиперссылка1"/>
    <w:qFormat/>
    <w:pPr>
      <w:spacing/>
      <w:jc w:val="left"/>
      <w:widowControl/>
    </w:pPr>
    <w:rPr>
      <w:rFonts w:ascii="Times New Roman" w:hAnsi="Times New Roman" w:eastAsia="Times New Roman" w:cs="Times New Roman"/>
      <w:color w:val="0000ff"/>
      <w:u w:color="auto" w:val="single"/>
      <w:lang w:val="ru-ru" w:eastAsia="ru-ru" w:bidi="ar-sa"/>
    </w:rPr>
  </w:style>
  <w:style w:type="paragraph" w:styleId="para35" w:customStyle="1">
    <w:name w:val="Footnote"/>
    <w:qFormat/>
    <w:pPr>
      <w:ind w:firstLine="851"/>
      <w:widowControl/>
    </w:pPr>
    <w:rPr>
      <w:rFonts w:ascii="XO Thames" w:hAnsi="XO Thames" w:eastAsia="Times New Roman" w:cs="Times New Roman"/>
      <w:color w:val="000000"/>
      <w:sz w:val="22"/>
      <w:lang w:val="ru-ru" w:eastAsia="ru-ru" w:bidi="ar-sa"/>
    </w:rPr>
  </w:style>
  <w:style w:type="paragraph" w:styleId="para36" w:customStyle="1">
    <w:name w:val="Колонтитул"/>
    <w:qFormat/>
    <w:pPr>
      <w:widowControl/>
    </w:pPr>
    <w:rPr>
      <w:rFonts w:ascii="XO Thames" w:hAnsi="XO Thames" w:eastAsia="Times New Roman" w:cs="Times New Roman"/>
      <w:color w:val="000000"/>
      <w:lang w:val="ru-ru" w:eastAsia="ru-ru" w:bidi="ar-sa"/>
    </w:rPr>
  </w:style>
  <w:style w:type="paragraph" w:styleId="para37" w:customStyle="1">
    <w:name w:val="Основной шрифт абзаца1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38">
    <w:name w:val="toc 1"/>
    <w:qFormat/>
    <w:next w:val="para0"/>
    <w:pPr>
      <w:spacing/>
      <w:jc w:val="left"/>
      <w:widowControl/>
    </w:pPr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para39" w:customStyle="1">
    <w:name w:val="Header and Footer"/>
    <w:qFormat/>
    <w:pPr>
      <w:spacing/>
      <w:jc w:val="left"/>
      <w:widowControl/>
    </w:pPr>
    <w:rPr>
      <w:rFonts w:ascii="XO Thames" w:hAnsi="XO Thames" w:eastAsia="Times New Roman" w:cs="Times New Roman"/>
      <w:color w:val="000000"/>
      <w:lang w:val="ru-ru" w:eastAsia="ru-ru" w:bidi="ar-sa"/>
    </w:rPr>
  </w:style>
  <w:style w:type="paragraph" w:styleId="para40" w:customStyle="1">
    <w:name w:val="Содержимое врезки"/>
    <w:qFormat/>
    <w:basedOn w:val="para0"/>
  </w:style>
  <w:style w:type="paragraph" w:styleId="para41">
    <w:name w:val="toc 9"/>
    <w:qFormat/>
    <w:next w:val="para0"/>
    <w:pPr>
      <w:ind w:left="16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42" w:customStyle="1">
    <w:name w:val="Номер страницы1"/>
    <w:qFormat/>
    <w:basedOn w:val="para37"/>
  </w:style>
  <w:style w:type="paragraph" w:styleId="para43" w:customStyle="1">
    <w:name w:val="Text body indent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sz w:val="28"/>
      <w:lang w:val="ru-ru" w:eastAsia="ru-ru" w:bidi="ar-sa"/>
    </w:rPr>
  </w:style>
  <w:style w:type="paragraph" w:styleId="para44">
    <w:name w:val="List"/>
    <w:qFormat/>
    <w:basedOn w:val="para11"/>
    <w:rPr>
      <w:rFonts w:ascii="PT Astra Serif" w:hAnsi="PT Astra Serif"/>
    </w:rPr>
  </w:style>
  <w:style w:type="paragraph" w:styleId="para45" w:customStyle="1">
    <w:name w:val="ConsPlusNormal"/>
    <w:qFormat/>
    <w:pPr>
      <w:ind w:firstLine="720"/>
    </w:pPr>
    <w:rPr>
      <w:rFonts w:ascii="Arial" w:hAnsi="Arial" w:eastAsia="Times New Roman" w:cs="Times New Roman"/>
      <w:color w:val="000000"/>
      <w:lang w:val="ru-ru" w:eastAsia="ru-ru" w:bidi="ar-sa"/>
    </w:rPr>
  </w:style>
  <w:style w:type="paragraph" w:styleId="para46">
    <w:name w:val="toc 8"/>
    <w:qFormat/>
    <w:next w:val="para0"/>
    <w:pPr>
      <w:ind w:left="14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47" w:customStyle="1">
    <w:name w:val="Просмотренная гиперссылка1"/>
    <w:qFormat/>
    <w:pPr>
      <w:spacing/>
      <w:jc w:val="left"/>
      <w:widowControl/>
    </w:pPr>
    <w:rPr>
      <w:rFonts w:ascii="Times New Roman" w:hAnsi="Times New Roman" w:eastAsia="Times New Roman" w:cs="Times New Roman"/>
      <w:color w:val="800000"/>
      <w:u w:color="auto" w:val="single"/>
      <w:lang w:val="ru-ru" w:eastAsia="ru-ru" w:bidi="ar-sa"/>
    </w:rPr>
  </w:style>
  <w:style w:type="paragraph" w:styleId="para48" w:customStyle="1">
    <w:name w:val="Internet link"/>
    <w:qFormat/>
    <w:pPr>
      <w:spacing/>
      <w:jc w:val="left"/>
      <w:widowControl/>
    </w:pPr>
    <w:rPr>
      <w:rFonts w:ascii="Times New Roman" w:hAnsi="Times New Roman" w:eastAsia="Times New Roman" w:cs="Times New Roman"/>
      <w:color w:val="0000ff"/>
      <w:u w:color="auto" w:val="single"/>
      <w:lang w:val="ru-ru" w:eastAsia="ru-ru" w:bidi="ar-sa"/>
    </w:rPr>
  </w:style>
  <w:style w:type="paragraph" w:styleId="para49" w:customStyle="1">
    <w:name w:val="Выделение2"/>
    <w:qFormat/>
    <w:pPr>
      <w:spacing/>
      <w:jc w:val="left"/>
      <w:widowControl/>
    </w:pPr>
    <w:rPr>
      <w:rFonts w:ascii="Times New Roman" w:hAnsi="Times New Roman" w:eastAsia="Times New Roman" w:cs="Times New Roman"/>
      <w:i/>
      <w:color w:val="000000"/>
      <w:lang w:val="ru-ru" w:eastAsia="ru-ru" w:bidi="ar-sa"/>
    </w:rPr>
  </w:style>
  <w:style w:type="paragraph" w:styleId="para50">
    <w:name w:val="Footer"/>
    <w:qFormat/>
    <w:basedOn w:val="para0"/>
    <w:pPr>
      <w:tabs defTabSz="709">
        <w:tab w:val="center" w:pos="4677" w:leader="none"/>
        <w:tab w:val="right" w:pos="9355" w:leader="none"/>
      </w:tabs>
    </w:pPr>
  </w:style>
  <w:style w:type="paragraph" w:styleId="para51" w:customStyle="1">
    <w:name w:val="Основной текст 21"/>
    <w:qFormat/>
    <w:basedOn w:val="para0"/>
    <w:pPr>
      <w:widowControl/>
    </w:pPr>
    <w:rPr>
      <w:rFonts w:ascii="Times New Roman" w:hAnsi="Times New Roman"/>
      <w:sz w:val="24"/>
    </w:rPr>
  </w:style>
  <w:style w:type="paragraph" w:styleId="para52">
    <w:name w:val="toc 5"/>
    <w:qFormat/>
    <w:next w:val="para0"/>
    <w:pPr>
      <w:ind w:left="800"/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53">
    <w:name w:val="Body Text 2"/>
    <w:qFormat/>
    <w:basedOn w:val="para0"/>
    <w:pPr>
      <w:spacing w:after="120" w:line="480" w:lineRule="auto"/>
    </w:pPr>
  </w:style>
  <w:style w:type="paragraph" w:styleId="para54" w:customStyle="1">
    <w:name w:val="Contents 7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55">
    <w:name w:val="Plain Text"/>
    <w:qFormat/>
    <w:basedOn w:val="para0"/>
    <w:rPr>
      <w:rFonts w:ascii="Courier New" w:hAnsi="Courier New"/>
    </w:rPr>
  </w:style>
  <w:style w:type="paragraph" w:styleId="para56" w:customStyle="1">
    <w:name w:val="Default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sz w:val="24"/>
      <w:lang w:val="ru-ru" w:eastAsia="ru-ru" w:bidi="ar-sa"/>
    </w:rPr>
  </w:style>
  <w:style w:type="paragraph" w:styleId="para57">
    <w:name w:val="caption"/>
    <w:qFormat/>
    <w:basedOn w:val="para0"/>
    <w:pPr>
      <w:spacing w:before="120" w:after="120"/>
    </w:pPr>
    <w:rPr>
      <w:rFonts w:ascii="PT Astra Serif" w:hAnsi="PT Astra Serif"/>
      <w:i/>
      <w:sz w:val="24"/>
    </w:rPr>
  </w:style>
  <w:style w:type="paragraph" w:styleId="para58">
    <w:name w:val="Normal (Web)"/>
    <w:qFormat/>
    <w:basedOn w:val="para0"/>
    <w:pPr>
      <w:spacing w:beforeAutospacing="1" w:afterAutospacing="1"/>
      <w:widowControl/>
    </w:pPr>
    <w:rPr>
      <w:rFonts w:ascii="Times New Roman" w:hAnsi="Times New Roman"/>
      <w:sz w:val="24"/>
    </w:rPr>
  </w:style>
  <w:style w:type="paragraph" w:styleId="para59" w:customStyle="1">
    <w:name w:val="Строгий1"/>
    <w:qFormat/>
    <w:pPr>
      <w:spacing/>
      <w:jc w:val="left"/>
      <w:widowControl/>
    </w:pPr>
    <w:rPr>
      <w:rFonts w:ascii="Times New Roman" w:hAnsi="Times New Roman" w:eastAsia="Times New Roman" w:cs="Times New Roman"/>
      <w:b/>
      <w:color w:val="000000"/>
      <w:lang w:val="ru-ru" w:eastAsia="ru-ru" w:bidi="ar-sa"/>
    </w:rPr>
  </w:style>
  <w:style w:type="paragraph" w:styleId="para60" w:customStyle="1">
    <w:name w:val="Абзац"/>
    <w:qFormat/>
    <w:basedOn w:val="para58"/>
    <w:pPr>
      <w:ind w:firstLine="879"/>
    </w:pPr>
    <w:rPr>
      <w:rFonts w:ascii="Arial" w:hAnsi="Arial"/>
      <w:b/>
      <w:sz w:val="32"/>
    </w:rPr>
  </w:style>
  <w:style w:type="paragraph" w:styleId="para61" w:customStyle="1">
    <w:name w:val="Contents 3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62">
    <w:name w:val="Index Heading"/>
    <w:qFormat/>
    <w:basedOn w:val="para0"/>
    <w:rPr>
      <w:rFonts w:ascii="PT Astra Serif" w:hAnsi="PT Astra Serif"/>
    </w:rPr>
  </w:style>
  <w:style w:type="paragraph" w:styleId="para63" w:customStyle="1">
    <w:name w:val="Contents 9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para64" w:customStyle="1">
    <w:name w:val="apple-converted-space"/>
    <w:qFormat/>
    <w:pPr>
      <w:spacing/>
      <w:jc w:val="left"/>
      <w:widowControl/>
    </w:pPr>
    <w:rPr>
      <w:rFonts w:ascii="Times New Roman" w:hAnsi="Times New Roman" w:eastAsia="Times New Roman" w:cs="Times New Roman"/>
      <w:color w:val="000000"/>
      <w:lang w:val="ru-ru" w:eastAsia="ru-ru" w:bidi="ar-sa"/>
    </w:rPr>
  </w:style>
  <w:style w:type="paragraph" w:styleId="para65" w:customStyle="1">
    <w:name w:val="Contents 8"/>
    <w:qFormat/>
    <w:pPr>
      <w:spacing/>
      <w:jc w:val="left"/>
      <w:widowControl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character" w:styleId="char0" w:default="1">
    <w:name w:val="Default Paragraph Font"/>
  </w:style>
  <w:style w:type="character" w:styleId="char1" w:customStyle="1">
    <w:name w:val="Обычный1"/>
    <w:rPr>
      <w:rFonts w:ascii="Times New Roman" w:hAnsi="Times New Roman"/>
      <w:color w:val="000000"/>
      <w:spacing w:val="0" w:percent="100"/>
      <w:sz w:val="20"/>
    </w:rPr>
  </w:style>
  <w:style w:type="character" w:styleId="char2" w:customStyle="1">
    <w:name w:val="Contents 4"/>
    <w:rPr>
      <w:rFonts w:ascii="XO Thames" w:hAnsi="XO Thames"/>
      <w:sz w:val="28"/>
    </w:rPr>
  </w:style>
  <w:style w:type="character" w:styleId="char3" w:customStyle="1">
    <w:name w:val="Оглавление 2 Знак"/>
    <w:rPr>
      <w:rFonts w:ascii="XO Thames" w:hAnsi="XO Thames"/>
      <w:color w:val="000000"/>
      <w:spacing w:val="0" w:percent="100"/>
      <w:sz w:val="28"/>
    </w:rPr>
  </w:style>
  <w:style w:type="character" w:styleId="char4" w:customStyle="1">
    <w:name w:val="Оглавление 4 Знак"/>
    <w:rPr>
      <w:rFonts w:ascii="XO Thames" w:hAnsi="XO Thames"/>
      <w:color w:val="000000"/>
      <w:spacing w:val="0" w:percent="100"/>
      <w:sz w:val="28"/>
    </w:rPr>
  </w:style>
  <w:style w:type="character" w:styleId="char5" w:customStyle="1">
    <w:name w:val="Основной текст Знак"/>
    <w:basedOn w:val="char1"/>
    <w:rPr>
      <w:rFonts w:ascii="Arial" w:hAnsi="Arial"/>
      <w:color w:val="000000"/>
      <w:spacing w:val="0" w:percent="100"/>
      <w:sz w:val="20"/>
    </w:rPr>
  </w:style>
  <w:style w:type="character" w:styleId="char6" w:customStyle="1">
    <w:name w:val="Основной текст с отступом Знак"/>
    <w:basedOn w:val="char1"/>
    <w:rPr>
      <w:rFonts w:ascii="Times New Roman" w:hAnsi="Times New Roman"/>
      <w:color w:val="000000"/>
      <w:spacing w:val="0" w:percent="100"/>
      <w:sz w:val="28"/>
    </w:rPr>
  </w:style>
  <w:style w:type="character" w:styleId="char7" w:customStyle="1">
    <w:name w:val="Заголовок 21"/>
    <w:basedOn w:val="char1"/>
    <w:rPr>
      <w:rFonts w:ascii="Times New Roman" w:hAnsi="Times New Roman"/>
      <w:i/>
      <w:color w:val="000000"/>
      <w:spacing w:val="0" w:percent="100"/>
      <w:sz w:val="20"/>
    </w:rPr>
  </w:style>
  <w:style w:type="character" w:styleId="char8" w:customStyle="1">
    <w:name w:val="Основной текст 31"/>
    <w:basedOn w:val="char1"/>
    <w:rPr>
      <w:rFonts w:ascii="Verdana" w:hAnsi="Verdana"/>
      <w:b/>
      <w:color w:val="000000"/>
      <w:spacing w:val="0" w:percent="100"/>
      <w:sz w:val="24"/>
    </w:rPr>
  </w:style>
  <w:style w:type="character" w:styleId="char9" w:customStyle="1">
    <w:name w:val="Оглавление 6 Знак"/>
    <w:rPr>
      <w:rFonts w:ascii="XO Thames" w:hAnsi="XO Thames"/>
      <w:color w:val="000000"/>
      <w:spacing w:val="0" w:percent="100"/>
      <w:sz w:val="28"/>
    </w:rPr>
  </w:style>
  <w:style w:type="character" w:styleId="char10" w:customStyle="1">
    <w:name w:val="Оглавление 7 Знак"/>
    <w:rPr>
      <w:rFonts w:ascii="XO Thames" w:hAnsi="XO Thames"/>
      <w:color w:val="000000"/>
      <w:spacing w:val="0" w:percent="100"/>
      <w:sz w:val="28"/>
    </w:rPr>
  </w:style>
  <w:style w:type="character" w:styleId="char11" w:customStyle="1">
    <w:name w:val="Текст выноски Знак"/>
    <w:basedOn w:val="char1"/>
    <w:rPr>
      <w:rFonts w:ascii="Tahoma" w:hAnsi="Tahoma"/>
      <w:color w:val="000000"/>
      <w:spacing w:val="0" w:percent="100"/>
      <w:sz w:val="16"/>
    </w:rPr>
  </w:style>
  <w:style w:type="character" w:styleId="char12" w:customStyle="1">
    <w:name w:val="Заголовок 11"/>
    <w:basedOn w:val="char1"/>
    <w:rPr>
      <w:rFonts w:ascii="Times New Roman" w:hAnsi="Times New Roman"/>
      <w:b/>
      <w:color w:val="000000"/>
      <w:spacing w:val="0" w:percent="100"/>
      <w:sz w:val="20"/>
    </w:rPr>
  </w:style>
  <w:style w:type="character" w:styleId="char13" w:customStyle="1">
    <w:name w:val="Заголовок 31"/>
    <w:basedOn w:val="char1"/>
    <w:rPr>
      <w:rFonts w:ascii="Cambria" w:hAnsi="Cambria"/>
      <w:b/>
      <w:color w:val="000000"/>
      <w:spacing w:val="0" w:percent="100"/>
      <w:sz w:val="26"/>
    </w:rPr>
  </w:style>
  <w:style w:type="character" w:styleId="char14">
    <w:name w:val="Emphasis"/>
    <w:rPr>
      <w:i/>
    </w:rPr>
  </w:style>
  <w:style w:type="character" w:styleId="char15" w:customStyle="1">
    <w:name w:val="Основной текст 3 Знак"/>
    <w:basedOn w:val="char1"/>
    <w:rPr>
      <w:rFonts w:ascii="Verdana" w:hAnsi="Verdana"/>
      <w:b/>
      <w:color w:val="000000"/>
      <w:spacing w:val="0" w:percent="100"/>
      <w:sz w:val="24"/>
    </w:rPr>
  </w:style>
  <w:style w:type="character" w:styleId="char16" w:customStyle="1">
    <w:name w:val="Заголовок 41"/>
    <w:basedOn w:val="char1"/>
    <w:rPr>
      <w:rFonts w:ascii="Times New Roman" w:hAnsi="Times New Roman"/>
      <w:color w:val="000000"/>
      <w:spacing w:val="0" w:percent="100"/>
      <w:sz w:val="36"/>
    </w:rPr>
  </w:style>
  <w:style w:type="character" w:styleId="char17" w:customStyle="1">
    <w:name w:val="Основной текст с отступом 2 Знак"/>
    <w:basedOn w:val="char1"/>
    <w:rPr>
      <w:rFonts w:ascii="Times New Roman" w:hAnsi="Times New Roman"/>
      <w:color w:val="000000"/>
      <w:spacing w:val="0" w:percent="100"/>
      <w:sz w:val="28"/>
    </w:rPr>
  </w:style>
  <w:style w:type="character" w:styleId="char18" w:customStyle="1">
    <w:name w:val="Contents 1"/>
    <w:rPr>
      <w:rFonts w:ascii="XO Thames" w:hAnsi="XO Thames"/>
      <w:b/>
      <w:sz w:val="28"/>
    </w:rPr>
  </w:style>
  <w:style w:type="character" w:styleId="char19" w:customStyle="1">
    <w:name w:val="Заголовок1"/>
    <w:rPr>
      <w:rFonts w:ascii="XO Thames" w:hAnsi="XO Thames"/>
      <w:b/>
      <w:caps/>
      <w:sz w:val="40"/>
    </w:rPr>
  </w:style>
  <w:style w:type="character" w:styleId="char20" w:customStyle="1">
    <w:name w:val="Без интервала Знак"/>
    <w:rPr>
      <w:rFonts w:ascii="Calibri" w:hAnsi="Calibri"/>
      <w:color w:val="000000"/>
      <w:spacing w:val="0" w:percent="100"/>
      <w:sz w:val="22"/>
    </w:rPr>
  </w:style>
  <w:style w:type="character" w:styleId="char21" w:customStyle="1">
    <w:name w:val="Заголовок 61"/>
    <w:basedOn w:val="char1"/>
    <w:rPr>
      <w:rFonts w:ascii="Times New Roman" w:hAnsi="Times New Roman"/>
      <w:b/>
      <w:color w:val="000000"/>
      <w:spacing w:val="0" w:percent="100"/>
      <w:sz w:val="22"/>
    </w:rPr>
  </w:style>
  <w:style w:type="character" w:styleId="char22" w:customStyle="1">
    <w:name w:val="Text body"/>
  </w:style>
  <w:style w:type="character" w:styleId="char23" w:customStyle="1">
    <w:name w:val="Оглавление 3 Знак"/>
    <w:rPr>
      <w:rFonts w:ascii="XO Thames" w:hAnsi="XO Thames"/>
      <w:color w:val="000000"/>
      <w:spacing w:val="0" w:percent="100"/>
      <w:sz w:val="28"/>
    </w:rPr>
  </w:style>
  <w:style w:type="character" w:styleId="char24" w:customStyle="1">
    <w:name w:val="Подзаголовок1"/>
    <w:rPr>
      <w:rFonts w:ascii="XO Thames" w:hAnsi="XO Thames"/>
      <w:i/>
      <w:sz w:val="24"/>
    </w:rPr>
  </w:style>
  <w:style w:type="character" w:styleId="char25" w:customStyle="1">
    <w:name w:val="Верхний колонтитул1"/>
  </w:style>
  <w:style w:type="character" w:styleId="char26" w:customStyle="1">
    <w:name w:val="Знак Знак Знак Знак"/>
    <w:basedOn w:val="char1"/>
    <w:rPr>
      <w:rFonts w:ascii="Tahoma" w:hAnsi="Tahoma"/>
      <w:color w:val="000000"/>
      <w:spacing w:val="0" w:percent="100"/>
      <w:sz w:val="20"/>
    </w:rPr>
  </w:style>
  <w:style w:type="character" w:styleId="char27" w:customStyle="1">
    <w:name w:val="Заголовок 51"/>
    <w:rPr>
      <w:b/>
      <w:i/>
      <w:sz w:val="26"/>
    </w:rPr>
  </w:style>
  <w:style w:type="character" w:styleId="char28" w:customStyle="1">
    <w:name w:val="Contents 5"/>
    <w:rPr>
      <w:rFonts w:ascii="XO Thames" w:hAnsi="XO Thames"/>
      <w:sz w:val="28"/>
    </w:rPr>
  </w:style>
  <w:style w:type="character" w:styleId="char29" w:customStyle="1">
    <w:name w:val="Заголовок 1 Знак"/>
    <w:rPr>
      <w:rFonts w:ascii="Times New Roman" w:hAnsi="Times New Roman"/>
      <w:b/>
    </w:rPr>
  </w:style>
  <w:style w:type="character" w:styleId="char30" w:customStyle="1">
    <w:name w:val="Табл_заголовок"/>
    <w:basedOn w:val="char1"/>
    <w:rPr>
      <w:rFonts w:ascii="Times New Roman" w:hAnsi="Times New Roman"/>
      <w:color w:val="333399"/>
      <w:spacing w:val="0" w:percent="100"/>
      <w:sz w:val="28"/>
    </w:rPr>
  </w:style>
  <w:style w:type="character" w:styleId="char31" w:customStyle="1">
    <w:name w:val="Contents 2"/>
    <w:rPr>
      <w:rFonts w:ascii="XO Thames" w:hAnsi="XO Thames"/>
      <w:sz w:val="28"/>
    </w:rPr>
  </w:style>
  <w:style w:type="character" w:styleId="char32" w:customStyle="1">
    <w:name w:val="Абзац списка Знак"/>
    <w:basedOn w:val="char1"/>
    <w:rPr>
      <w:rFonts w:ascii="Arial" w:hAnsi="Arial"/>
      <w:color w:val="000000"/>
      <w:spacing w:val="0" w:percent="100"/>
      <w:sz w:val="20"/>
    </w:rPr>
  </w:style>
  <w:style w:type="character" w:styleId="char33" w:customStyle="1">
    <w:name w:val="Contents 6"/>
    <w:rPr>
      <w:rFonts w:ascii="XO Thames" w:hAnsi="XO Thames"/>
      <w:sz w:val="28"/>
    </w:rPr>
  </w:style>
  <w:style w:type="character" w:styleId="char34" w:customStyle="1">
    <w:name w:val="Заголовок 5 Знак"/>
    <w:basedOn w:val="char1"/>
    <w:rPr>
      <w:rFonts w:ascii="Arial" w:hAnsi="Arial"/>
      <w:b/>
      <w:i/>
      <w:color w:val="000000"/>
      <w:spacing w:val="0" w:percent="100"/>
      <w:sz w:val="26"/>
    </w:rPr>
  </w:style>
  <w:style w:type="character" w:styleId="char35">
    <w:name w:val="Hyperlink"/>
    <w:rPr>
      <w:color w:val="0000ff"/>
      <w:u w:color="auto" w:val="single"/>
    </w:rPr>
  </w:style>
  <w:style w:type="character" w:styleId="char36" w:customStyle="1">
    <w:name w:val="Footnote"/>
    <w:rPr>
      <w:rFonts w:ascii="XO Thames" w:hAnsi="XO Thames"/>
      <w:color w:val="000000"/>
      <w:spacing w:val="0" w:percent="100"/>
      <w:sz w:val="22"/>
    </w:rPr>
  </w:style>
  <w:style w:type="character" w:styleId="char37" w:customStyle="1">
    <w:name w:val="Заголовок 81"/>
    <w:rPr>
      <w:rFonts w:ascii="Times New Roman" w:hAnsi="Times New Roman"/>
      <w:b/>
      <w:i/>
    </w:rPr>
  </w:style>
  <w:style w:type="character" w:styleId="char38" w:customStyle="1">
    <w:name w:val="Колонтитул"/>
    <w:rPr>
      <w:rFonts w:ascii="XO Thames" w:hAnsi="XO Thames"/>
      <w:color w:val="000000"/>
      <w:spacing w:val="0" w:percent="100"/>
      <w:sz w:val="20"/>
    </w:rPr>
  </w:style>
  <w:style w:type="character" w:styleId="char39" w:customStyle="1">
    <w:name w:val="Оглавление 1 Знак"/>
    <w:rPr>
      <w:rFonts w:ascii="XO Thames" w:hAnsi="XO Thames"/>
      <w:b/>
      <w:color w:val="000000"/>
      <w:spacing w:val="0" w:percent="100"/>
      <w:sz w:val="28"/>
    </w:rPr>
  </w:style>
  <w:style w:type="character" w:styleId="char40" w:customStyle="1">
    <w:name w:val="Верхний колонтитул Знак"/>
    <w:basedOn w:val="char1"/>
    <w:rPr>
      <w:rFonts w:ascii="Arial" w:hAnsi="Arial"/>
      <w:color w:val="000000"/>
      <w:spacing w:val="0" w:percent="100"/>
      <w:sz w:val="20"/>
    </w:rPr>
  </w:style>
  <w:style w:type="character" w:styleId="char41" w:customStyle="1">
    <w:name w:val="Header and Footer"/>
    <w:rPr>
      <w:rFonts w:ascii="XO Thames" w:hAnsi="XO Thames"/>
      <w:sz w:val="20"/>
    </w:rPr>
  </w:style>
  <w:style w:type="character" w:styleId="char42" w:customStyle="1">
    <w:name w:val="Содержимое врезки"/>
    <w:basedOn w:val="char1"/>
    <w:rPr>
      <w:rFonts w:ascii="Arial" w:hAnsi="Arial"/>
      <w:color w:val="000000"/>
      <w:spacing w:val="0" w:percent="100"/>
      <w:sz w:val="20"/>
    </w:rPr>
  </w:style>
  <w:style w:type="character" w:styleId="char43" w:customStyle="1">
    <w:name w:val="Оглавление 9 Знак"/>
    <w:rPr>
      <w:rFonts w:ascii="XO Thames" w:hAnsi="XO Thames"/>
      <w:color w:val="000000"/>
      <w:spacing w:val="0" w:percent="100"/>
      <w:sz w:val="28"/>
    </w:rPr>
  </w:style>
  <w:style w:type="character" w:styleId="char44">
    <w:name w:val="Page Number"/>
    <w:basedOn w:val="char0"/>
  </w:style>
  <w:style w:type="character" w:styleId="char45" w:customStyle="1">
    <w:name w:val="Text body indent"/>
    <w:rPr>
      <w:rFonts w:ascii="Times New Roman" w:hAnsi="Times New Roman"/>
      <w:sz w:val="28"/>
    </w:rPr>
  </w:style>
  <w:style w:type="character" w:styleId="char46" w:customStyle="1">
    <w:name w:val="Список Знак"/>
    <w:basedOn w:val="char5"/>
    <w:rPr>
      <w:rFonts w:ascii="PT Astra Serif" w:hAnsi="PT Astra Serif"/>
      <w:color w:val="000000"/>
      <w:spacing w:val="0" w:percent="100"/>
      <w:sz w:val="20"/>
    </w:rPr>
  </w:style>
  <w:style w:type="character" w:styleId="char47" w:customStyle="1">
    <w:name w:val="ConsPlusNormal"/>
    <w:rPr>
      <w:rFonts w:ascii="Arial" w:hAnsi="Arial"/>
      <w:color w:val="000000"/>
      <w:spacing w:val="0" w:percent="100"/>
      <w:sz w:val="20"/>
    </w:rPr>
  </w:style>
  <w:style w:type="character" w:styleId="char48" w:customStyle="1">
    <w:name w:val="Оглавление 8 Знак"/>
    <w:rPr>
      <w:rFonts w:ascii="XO Thames" w:hAnsi="XO Thames"/>
      <w:color w:val="000000"/>
      <w:spacing w:val="0" w:percent="100"/>
      <w:sz w:val="28"/>
    </w:rPr>
  </w:style>
  <w:style w:type="character" w:styleId="char49" w:customStyle="1">
    <w:name w:val="Заголовок 3 Знак"/>
    <w:rPr>
      <w:rFonts w:ascii="Cambria" w:hAnsi="Cambria"/>
      <w:b/>
      <w:sz w:val="26"/>
    </w:rPr>
  </w:style>
  <w:style w:type="character" w:styleId="char50">
    <w:name w:val="FollowedHyperlink"/>
    <w:rPr>
      <w:color w:val="800000"/>
      <w:u w:color="auto" w:val="single"/>
    </w:rPr>
  </w:style>
  <w:style w:type="character" w:styleId="char51" w:customStyle="1">
    <w:name w:val="Internet link"/>
    <w:rPr>
      <w:rFonts w:ascii="Times New Roman" w:hAnsi="Times New Roman"/>
      <w:color w:val="0000ff"/>
      <w:spacing w:val="0" w:percent="100"/>
      <w:sz w:val="20"/>
      <w:u w:color="auto" w:val="single"/>
    </w:rPr>
  </w:style>
  <w:style w:type="character" w:styleId="char52" w:customStyle="1">
    <w:name w:val="Нижний колонтитул1"/>
  </w:style>
  <w:style w:type="character" w:styleId="char53" w:customStyle="1">
    <w:name w:val="Основной текст 21"/>
    <w:basedOn w:val="char1"/>
    <w:rPr>
      <w:rFonts w:ascii="Times New Roman" w:hAnsi="Times New Roman"/>
      <w:color w:val="000000"/>
      <w:spacing w:val="0" w:percent="100"/>
      <w:sz w:val="24"/>
    </w:rPr>
  </w:style>
  <w:style w:type="character" w:styleId="char54" w:customStyle="1">
    <w:name w:val="Оглавление 5 Знак"/>
    <w:rPr>
      <w:rFonts w:ascii="XO Thames" w:hAnsi="XO Thames"/>
      <w:color w:val="000000"/>
      <w:spacing w:val="0" w:percent="100"/>
      <w:sz w:val="28"/>
    </w:rPr>
  </w:style>
  <w:style w:type="character" w:styleId="char55" w:customStyle="1">
    <w:name w:val="Основной текст 2 Знак"/>
    <w:basedOn w:val="char1"/>
    <w:rPr>
      <w:rFonts w:ascii="Arial" w:hAnsi="Arial"/>
      <w:color w:val="000000"/>
      <w:spacing w:val="0" w:percent="100"/>
      <w:sz w:val="20"/>
    </w:rPr>
  </w:style>
  <w:style w:type="character" w:styleId="char56" w:customStyle="1">
    <w:name w:val="Заголовок 8 Знак"/>
    <w:basedOn w:val="char1"/>
    <w:rPr>
      <w:rFonts w:ascii="Times New Roman" w:hAnsi="Times New Roman"/>
      <w:b/>
      <w:i/>
      <w:color w:val="000000"/>
      <w:spacing w:val="0" w:percent="100"/>
      <w:sz w:val="20"/>
    </w:rPr>
  </w:style>
  <w:style w:type="character" w:styleId="char57" w:customStyle="1">
    <w:name w:val="Заголовок2"/>
    <w:basedOn w:val="char1"/>
    <w:rPr>
      <w:rFonts w:ascii="PT Astra Serif" w:hAnsi="PT Astra Serif"/>
      <w:color w:val="000000"/>
      <w:spacing w:val="0" w:percent="100"/>
      <w:sz w:val="28"/>
    </w:rPr>
  </w:style>
  <w:style w:type="character" w:styleId="char58" w:customStyle="1">
    <w:name w:val="Нижний колонтитул Знак"/>
    <w:basedOn w:val="char1"/>
    <w:rPr>
      <w:rFonts w:ascii="Arial" w:hAnsi="Arial"/>
      <w:color w:val="000000"/>
      <w:spacing w:val="0" w:percent="100"/>
      <w:sz w:val="20"/>
    </w:rPr>
  </w:style>
  <w:style w:type="character" w:styleId="char59" w:customStyle="1">
    <w:name w:val="Подзаголовок Знак"/>
    <w:rPr>
      <w:rFonts w:ascii="XO Thames" w:hAnsi="XO Thames"/>
      <w:i/>
      <w:color w:val="000000"/>
      <w:spacing w:val="0" w:percent="100"/>
      <w:sz w:val="24"/>
    </w:rPr>
  </w:style>
  <w:style w:type="character" w:styleId="char60" w:customStyle="1">
    <w:name w:val="Contents 7"/>
    <w:rPr>
      <w:rFonts w:ascii="XO Thames" w:hAnsi="XO Thames"/>
      <w:sz w:val="28"/>
    </w:rPr>
  </w:style>
  <w:style w:type="character" w:styleId="char61" w:customStyle="1">
    <w:name w:val="Текст Знак"/>
    <w:basedOn w:val="char1"/>
    <w:rPr>
      <w:rFonts w:ascii="Courier New" w:hAnsi="Courier New"/>
      <w:color w:val="000000"/>
      <w:spacing w:val="0" w:percent="100"/>
      <w:sz w:val="20"/>
    </w:rPr>
  </w:style>
  <w:style w:type="character" w:styleId="char62" w:customStyle="1">
    <w:name w:val="Default"/>
    <w:rPr>
      <w:rFonts w:ascii="Times New Roman" w:hAnsi="Times New Roman"/>
      <w:color w:val="000000"/>
      <w:spacing w:val="0" w:percent="100"/>
      <w:sz w:val="24"/>
    </w:rPr>
  </w:style>
  <w:style w:type="character" w:styleId="char63" w:customStyle="1">
    <w:name w:val="Название объекта Знак"/>
    <w:basedOn w:val="char1"/>
    <w:rPr>
      <w:rFonts w:ascii="PT Astra Serif" w:hAnsi="PT Astra Serif"/>
      <w:i/>
      <w:color w:val="000000"/>
      <w:spacing w:val="0" w:percent="100"/>
      <w:sz w:val="24"/>
    </w:rPr>
  </w:style>
  <w:style w:type="character" w:styleId="char64" w:customStyle="1">
    <w:name w:val="Обычный (веб) Знак"/>
    <w:basedOn w:val="char1"/>
    <w:rPr>
      <w:rFonts w:ascii="Times New Roman" w:hAnsi="Times New Roman"/>
      <w:color w:val="000000"/>
      <w:spacing w:val="0" w:percent="100"/>
      <w:sz w:val="24"/>
    </w:rPr>
  </w:style>
  <w:style w:type="character" w:styleId="char65" w:customStyle="1">
    <w:name w:val="Заголовок Знак"/>
    <w:rPr>
      <w:rFonts w:ascii="XO Thames" w:hAnsi="XO Thames"/>
      <w:b/>
      <w:caps/>
      <w:color w:val="000000"/>
      <w:spacing w:val="0" w:percent="100"/>
      <w:sz w:val="40"/>
    </w:rPr>
  </w:style>
  <w:style w:type="character" w:styleId="char66">
    <w:name w:val="Strong"/>
    <w:rPr>
      <w:rFonts w:ascii="Times New Roman" w:hAnsi="Times New Roman"/>
      <w:b/>
      <w:color w:val="000000"/>
      <w:spacing w:val="0" w:percent="100"/>
      <w:sz w:val="20"/>
    </w:rPr>
  </w:style>
  <w:style w:type="character" w:styleId="char67" w:customStyle="1">
    <w:name w:val="Заголовок 4 Знак"/>
    <w:rPr>
      <w:rFonts w:ascii="Times New Roman" w:hAnsi="Times New Roman"/>
      <w:sz w:val="36"/>
    </w:rPr>
  </w:style>
  <w:style w:type="character" w:styleId="char68" w:customStyle="1">
    <w:name w:val="Абзац"/>
    <w:basedOn w:val="char64"/>
    <w:rPr>
      <w:rFonts w:ascii="Arial" w:hAnsi="Arial"/>
      <w:b/>
      <w:color w:val="000000"/>
      <w:spacing w:val="0" w:percent="100"/>
      <w:sz w:val="32"/>
    </w:rPr>
  </w:style>
  <w:style w:type="character" w:styleId="char69" w:customStyle="1">
    <w:name w:val="Contents 3"/>
    <w:rPr>
      <w:rFonts w:ascii="XO Thames" w:hAnsi="XO Thames"/>
      <w:sz w:val="28"/>
    </w:rPr>
  </w:style>
  <w:style w:type="character" w:styleId="char70" w:customStyle="1">
    <w:name w:val="Заголовок 2 Знак"/>
    <w:rPr>
      <w:rFonts w:ascii="Times New Roman" w:hAnsi="Times New Roman"/>
      <w:i/>
    </w:rPr>
  </w:style>
  <w:style w:type="character" w:styleId="char71" w:customStyle="1">
    <w:name w:val="Указатель Знак"/>
    <w:basedOn w:val="char1"/>
    <w:rPr>
      <w:rFonts w:ascii="PT Astra Serif" w:hAnsi="PT Astra Serif"/>
      <w:color w:val="000000"/>
      <w:spacing w:val="0" w:percent="100"/>
      <w:sz w:val="20"/>
    </w:rPr>
  </w:style>
  <w:style w:type="character" w:styleId="char72" w:customStyle="1">
    <w:name w:val="Contents 9"/>
    <w:rPr>
      <w:rFonts w:ascii="XO Thames" w:hAnsi="XO Thames"/>
      <w:sz w:val="28"/>
    </w:rPr>
  </w:style>
  <w:style w:type="character" w:styleId="char73" w:customStyle="1">
    <w:name w:val="apple-converted-space"/>
    <w:rPr>
      <w:rFonts w:ascii="Times New Roman" w:hAnsi="Times New Roman"/>
      <w:color w:val="000000"/>
      <w:spacing w:val="0" w:percent="100"/>
      <w:sz w:val="20"/>
    </w:rPr>
  </w:style>
  <w:style w:type="character" w:styleId="char74" w:customStyle="1">
    <w:name w:val="Contents 8"/>
    <w:rPr>
      <w:rFonts w:ascii="XO Thames" w:hAnsi="XO Thames"/>
      <w:sz w:val="28"/>
    </w:rPr>
  </w:style>
  <w:style w:type="character" w:styleId="char75" w:customStyle="1">
    <w:name w:val="Заголовок 6 Знак"/>
    <w:rPr>
      <w:rFonts w:ascii="Times New Roman" w:hAnsi="Times New Roman"/>
      <w:b/>
      <w:sz w:val="22"/>
    </w:rPr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NormalTable">
    <w:name w:val="Normal Tab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NormalTable"/>
    <w:tblPr>
      <w:tblBorders>
        <w:top w:val="single" w:sz="12" w:space="0" w:color="008080" tmln="30, 0, 0, 0, 0"/>
        <w:left w:val="single" w:sz="6" w:space="0" w:color="008080" tmln="15, 0, 0, 0, 0"/>
        <w:bottom w:val="single" w:sz="12" w:space="0" w:color="008080" tmln="30, 0, 0, 0, 0"/>
        <w:right w:val="single" w:sz="6" w:space="0" w:color="008080" tmln="15, 0, 0, 0, 0"/>
      </w:tblBorders>
    </w:tblPr>
  </w:style>
  <w:style w:type="table" w:styleId="LightGridAccent3">
    <w:name w:val="Light Grid Accent 3"/>
    <w:basedOn w:val="TableList1"/>
    <w:uiPriority w:val="62"/>
    <w:tblPr>
      <w:tblBorders>
        <w:top w:val="single" w:sz="8" w:space="0" w:color="9BBB59" tmln="20, 0, 0, 0, 0"/>
        <w:left w:val="single" w:sz="8" w:space="0" w:color="9BBB59" tmln="20, 0, 0, 0, 0"/>
        <w:bottom w:val="single" w:sz="8" w:space="0" w:color="9BBB59" tmln="20, 0, 0, 0, 0"/>
        <w:right w:val="single" w:sz="8" w:space="0" w:color="9BBB59" tmln="20, 0, 0, 0, 0"/>
        <w:insideH w:val="single" w:sz="8" w:space="0" w:color="9BBB59" tmln="20, 0, 0, 0, 0"/>
        <w:insideV w:val="single" w:sz="8" w:space="0" w:color="9BBB59" tmln="20, 0, 0, 0, 0"/>
      </w:tblBorders>
    </w:tblPr>
  </w:style>
  <w:style w:type="table" w:styleId="MediumShading2Accent3">
    <w:name w:val="Medium Shading 2 Accent 3"/>
    <w:basedOn w:val="NormalTable"/>
    <w:uiPriority w:val="64"/>
    <w:tblPr>
      <w:tblBorders>
        <w:top w:val="single" w:sz="18" w:space="0" w:color="000000" tmln="45, 0, 0, 0, 0"/>
        <w:bottom w:val="single" w:sz="18" w:space="0" w:color="000000" tmln="45, 0, 0, 0, 0"/>
      </w:tblBorders>
    </w:tblPr>
  </w:style>
  <w:style w:type="table" w:styleId="MediumGrid3Accent3">
    <w:name w:val="Medium Grid 3 Accent 3"/>
    <w:basedOn w:val="MediumShading2Accent3"/>
    <w:uiPriority w:val="69"/>
    <w:tblPr>
      <w:tblBorders>
        <w:top w:val="single" w:sz="8" w:space="0" w:color="FFFFFF" tmln="20, 0, 0, 0, 0"/>
        <w:left w:val="single" w:sz="8" w:space="0" w:color="FFFFFF" tmln="20, 0, 0, 0, 0"/>
        <w:bottom w:val="single" w:sz="8" w:space="0" w:color="FFFFFF" tmln="20, 0, 0, 0, 0"/>
        <w:right w:val="single" w:sz="8" w:space="0" w:color="FFFFFF" tmln="20, 0, 0, 0, 0"/>
        <w:insideH w:val="single" w:sz="6" w:space="0" w:color="FFFFFF" tmln="15, 0, 0, 0, 0"/>
        <w:insideV w:val="single" w:sz="6" w:space="0" w:color="FFFFFF" tmln="15, 0, 0, 0, 0"/>
      </w:tblBorders>
    </w:tblPr>
  </w:style>
  <w:style w:type="table" w:styleId="4">
    <w:name w:val="Стиль4"/>
    <w:basedOn w:val="MediumGrid3Accent3"/>
    <w:tblPr/>
  </w:style>
  <w:style w:type="table" w:styleId="TableList8">
    <w:name w:val="Table List 8"/>
    <w:basedOn w:val="NormalTable"/>
    <w:tblPr>
      <w:tblBorders>
        <w:top w:val="single" w:sz="6" w:space="0" w:color="000000" tmln="15, 0, 0, 0, 0"/>
        <w:left w:val="single" w:sz="6" w:space="0" w:color="000000" tmln="15, 0, 0, 0, 0"/>
        <w:bottom w:val="single" w:sz="6" w:space="0" w:color="000000" tmln="15, 0, 0, 0, 0"/>
        <w:right w:val="single" w:sz="6" w:space="0" w:color="000000" tmln="15, 0, 0, 0, 0"/>
        <w:insideV w:val="single" w:sz="6" w:space="0" w:color="000000" tmln="15, 0, 0, 0, 0"/>
      </w:tblBorders>
    </w:tblPr>
  </w:style>
  <w:style w:type="table" w:styleId="LightShadingAccent2">
    <w:name w:val="Light Shading Accent 2"/>
    <w:basedOn w:val="NormalTable"/>
    <w:uiPriority w:val="60"/>
    <w:rPr>
      <w:color w:val="943634"/>
    </w:rPr>
    <w:tblPr>
      <w:tblBorders>
        <w:top w:val="single" w:sz="8" w:space="0" w:color="C0504D" tmln="20, 0, 0, 0, 0"/>
        <w:bottom w:val="single" w:sz="8" w:space="0" w:color="C0504D" tmln="20, 0, 0, 0, 0"/>
      </w:tblBorders>
    </w:tblPr>
  </w:style>
  <w:style w:type="table" w:styleId="2">
    <w:name w:val="Стиль2"/>
    <w:basedOn w:val="NormalTable"/>
    <w:tblPr/>
  </w:style>
  <w:style w:type="table" w:styleId="ColorfulListAccent3">
    <w:name w:val="Colorful List Accent 3"/>
    <w:basedOn w:val="NormalTable"/>
    <w:uiPriority w:val="72"/>
    <w:tblPr/>
  </w:style>
  <w:style w:type="table" w:styleId="7">
    <w:name w:val="Стиль7"/>
    <w:basedOn w:val="LightGridAccent3"/>
    <w:tblPr/>
  </w:style>
  <w:style w:type="table" w:styleId="ColorfulShadingAccent3">
    <w:name w:val="Colorful Shading Accent 3"/>
    <w:basedOn w:val="NormalTable"/>
    <w:uiPriority w:val="71"/>
    <w:tblPr>
      <w:tblBorders>
        <w:top w:val="single" w:sz="24" w:space="0" w:color="8064A2" tmln="60, 0, 0, 0, 0"/>
        <w:left w:val="single" w:sz="4" w:space="0" w:color="9BBB59" tmln="10, 0, 0, 0, 0"/>
        <w:bottom w:val="single" w:sz="4" w:space="0" w:color="9BBB59" tmln="10, 0, 0, 0, 0"/>
        <w:right w:val="single" w:sz="4" w:space="0" w:color="9BBB59" tmln="10, 0, 0, 0, 0"/>
        <w:insideH w:val="single" w:sz="4" w:space="0" w:color="FFFFFF" tmln="10, 0, 0, 0, 0"/>
        <w:insideV w:val="single" w:sz="4" w:space="0" w:color="FFFFFF" tmln="10, 0, 0, 0, 0"/>
      </w:tblBorders>
    </w:tblPr>
  </w:style>
  <w:style w:type="table" w:styleId="Table3Deffects2">
    <w:name w:val="Table 3D effects 2"/>
    <w:basedOn w:val="NormalTable"/>
    <w:tblPr/>
  </w:style>
  <w:style w:type="table" w:styleId="MediumGrid1Accent3">
    <w:name w:val="Medium Grid 1 Accent 3"/>
    <w:basedOn w:val="NormalTable"/>
    <w:uiPriority w:val="67"/>
    <w:tblPr>
      <w:tblBorders>
        <w:top w:val="single" w:sz="8" w:space="0" w:color="B3CC82" tmln="20, 0, 0, 0, 0"/>
        <w:left w:val="single" w:sz="8" w:space="0" w:color="B3CC82" tmln="20, 0, 0, 0, 0"/>
        <w:bottom w:val="single" w:sz="8" w:space="0" w:color="B3CC82" tmln="20, 0, 0, 0, 0"/>
        <w:right w:val="single" w:sz="8" w:space="0" w:color="B3CC82" tmln="20, 0, 0, 0, 0"/>
        <w:insideH w:val="single" w:sz="8" w:space="0" w:color="B3CC82" tmln="20, 0, 0, 0, 0"/>
        <w:insideV w:val="single" w:sz="8" w:space="0" w:color="B3CC82" tmln="20, 0, 0, 0, 0"/>
      </w:tblBorders>
    </w:tblPr>
  </w:style>
  <w:style w:type="table" w:styleId="3">
    <w:name w:val="Стиль3"/>
    <w:basedOn w:val="TableList8"/>
    <w:tblPr/>
  </w:style>
  <w:style w:type="table" w:styleId="LightListAccent3">
    <w:name w:val="Light List Accent 3"/>
    <w:basedOn w:val="NormalTable"/>
    <w:uiPriority w:val="61"/>
    <w:tblPr>
      <w:tblBorders>
        <w:top w:val="single" w:sz="8" w:space="0" w:color="9BBB59" tmln="20, 0, 0, 0, 0"/>
        <w:left w:val="single" w:sz="8" w:space="0" w:color="9BBB59" tmln="20, 0, 0, 0, 0"/>
        <w:bottom w:val="single" w:sz="8" w:space="0" w:color="9BBB59" tmln="20, 0, 0, 0, 0"/>
        <w:right w:val="single" w:sz="8" w:space="0" w:color="9BBB59" tmln="20, 0, 0, 0, 0"/>
      </w:tblBorders>
    </w:tblPr>
  </w:style>
  <w:style w:type="table" w:styleId="TableSubtle1">
    <w:name w:val="Table Subtle 1"/>
    <w:basedOn w:val="NormalTable"/>
    <w:tblPr/>
  </w:style>
  <w:style w:type="table" w:styleId="LightShadingAccent3">
    <w:name w:val="Light Shading Accent 3"/>
    <w:basedOn w:val="TableSubtle1"/>
    <w:uiPriority w:val="60"/>
    <w:pPr>
      <w:spacing/>
      <w:jc w:val="left"/>
    </w:pPr>
    <w:rPr>
      <w:color w:val="76923c"/>
    </w:rPr>
    <w:tblPr>
      <w:tblBorders>
        <w:top w:val="single" w:sz="8" w:space="0" w:color="9BBB59" tmln="20, 0, 0, 0, 0"/>
        <w:bottom w:val="single" w:sz="8" w:space="0" w:color="9BBB59" tmln="20, 0, 0, 0, 0"/>
      </w:tblBorders>
    </w:tblPr>
  </w:style>
  <w:style w:type="table" w:styleId="6">
    <w:name w:val="Стиль6"/>
    <w:basedOn w:val="LightListAccent3"/>
    <w:tblPr/>
  </w:style>
  <w:style w:type="table" w:styleId="MediumShading1Accent3">
    <w:name w:val="Medium Shading 1 Accent 3"/>
    <w:basedOn w:val="NormalTable"/>
    <w:uiPriority w:val="63"/>
    <w:tblPr>
      <w:tblBorders>
        <w:top w:val="single" w:sz="8" w:space="0" w:color="B3CC82" tmln="20, 0, 0, 0, 0"/>
        <w:left w:val="single" w:sz="8" w:space="0" w:color="B3CC82" tmln="20, 0, 0, 0, 0"/>
        <w:bottom w:val="single" w:sz="8" w:space="0" w:color="B3CC82" tmln="20, 0, 0, 0, 0"/>
        <w:right w:val="single" w:sz="8" w:space="0" w:color="B3CC82" tmln="20, 0, 0, 0, 0"/>
        <w:insideH w:val="single" w:sz="8" w:space="0" w:color="B3CC82" tmln="20, 0, 0, 0, 0"/>
      </w:tblBorders>
    </w:tblPr>
  </w:style>
  <w:style w:type="table" w:styleId="TableGrid">
    <w:name w:val="Сетка таблицы"/>
    <w:basedOn w:val="NormalTable"/>
    <w:tblPr>
      <w:tblBorders>
        <w:top w:val="single" w:sz="4" w:space="0" w:color="000000" tmln="10, 0, 0, 0, 0"/>
        <w:left w:val="single" w:sz="4" w:space="0" w:color="000000" tmln="10, 0, 0, 0, 0"/>
        <w:bottom w:val="single" w:sz="4" w:space="0" w:color="000000" tmln="10, 0, 0, 0, 0"/>
        <w:right w:val="single" w:sz="4" w:space="0" w:color="000000" tmln="10, 0, 0, 0, 0"/>
        <w:insideH w:val="single" w:sz="4" w:space="0" w:color="000000" tmln="10, 0, 0, 0, 0"/>
        <w:insideV w:val="single" w:sz="4" w:space="0" w:color="000000" tmln="10, 0, 0, 0, 0"/>
      </w:tblBorders>
    </w:tblPr>
  </w:style>
  <w:style w:type="table" w:styleId="MediumGrid2Accent4">
    <w:name w:val="Medium Grid 2 Accent 4"/>
    <w:basedOn w:val="NormalTable"/>
    <w:uiPriority w:val="68"/>
    <w:tblPr>
      <w:tblBorders>
        <w:top w:val="single" w:sz="8" w:space="0" w:color="8064A2" tmln="20, 0, 0, 0, 0"/>
        <w:left w:val="single" w:sz="8" w:space="0" w:color="8064A2" tmln="20, 0, 0, 0, 0"/>
        <w:bottom w:val="single" w:sz="8" w:space="0" w:color="8064A2" tmln="20, 0, 0, 0, 0"/>
        <w:right w:val="single" w:sz="8" w:space="0" w:color="8064A2" tmln="20, 0, 0, 0, 0"/>
        <w:insideH w:val="single" w:sz="8" w:space="0" w:color="8064A2" tmln="20, 0, 0, 0, 0"/>
        <w:insideV w:val="single" w:sz="8" w:space="0" w:color="8064A2" tmln="20, 0, 0, 0, 0"/>
      </w:tblBorders>
    </w:tblPr>
  </w:style>
  <w:style w:type="table" w:styleId="9">
    <w:name w:val="Стиль9"/>
    <w:basedOn w:val="LightListAccent3"/>
    <w:tblPr/>
  </w:style>
  <w:style w:type="table" w:styleId="8">
    <w:name w:val="Стиль8"/>
    <w:basedOn w:val="NormalTable"/>
    <w:tblPr/>
  </w:style>
  <w:style w:type="table" w:styleId="LightShadingAccent4">
    <w:name w:val="Light Shading Accent 4"/>
    <w:basedOn w:val="NormalTable"/>
    <w:uiPriority w:val="60"/>
    <w:rPr>
      <w:color w:val="5f497a"/>
    </w:rPr>
    <w:tblPr>
      <w:tblBorders>
        <w:top w:val="single" w:sz="8" w:space="0" w:color="8064A2" tmln="20, 0, 0, 0, 0"/>
        <w:bottom w:val="single" w:sz="8" w:space="0" w:color="8064A2" tmln="20, 0, 0, 0, 0"/>
      </w:tblBorders>
    </w:tblPr>
  </w:style>
  <w:style w:type="table" w:styleId="5">
    <w:name w:val="Стиль5"/>
    <w:basedOn w:val="ColorfulListAccent3"/>
    <w:tblPr/>
  </w:style>
  <w:style w:type="table" w:styleId="1">
    <w:name w:val="Стиль1"/>
    <w:basedOn w:val="Table3Deffects2"/>
    <w:tbl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image" Target="media/image1.png"/><Relationship Id="rId9" Type="http://schemas.openxmlformats.org/officeDocument/2006/relationships/image" Target="media/image2.jpe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header" Target="header2.xml"/><Relationship Id="rId17" Type="http://schemas.openxmlformats.org/officeDocument/2006/relationships/footer" Target="footer2.xml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jpe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emf"/><Relationship Id="rId29" Type="http://schemas.openxmlformats.org/officeDocument/2006/relationships/hyperlink" Target="http://keminyest.ru/" TargetMode="External"/><Relationship Id="rId30" Type="http://schemas.openxmlformats.org/officeDocument/2006/relationships/hyperlink" Target="https://www.anzhero.ru/files/p1179tor.pdf" TargetMode="External"/><Relationship Id="rId31" Type="http://schemas.openxmlformats.org/officeDocument/2006/relationships/hyperlink" Target="http://www.&#1072;&#1085;&#1078;&#1077;&#1088;&#1082;&#1072;&#1073;&#1077;&#1079;&#1085;&#1072;&#1083;&#1086;&#1075;&#1086;&#1074;.&#1088;&#1092;" TargetMode="External"/><Relationship Id="rId32" Type="http://schemas.openxmlformats.org/officeDocument/2006/relationships/image" Target="media/image18.png"/><Relationship Id="rId33" Type="http://schemas.openxmlformats.org/officeDocument/2006/relationships/hyperlink" Target="mailto:adm@asf.ru" TargetMode="External"/><Relationship Id="rId34" Type="http://schemas.openxmlformats.org/officeDocument/2006/relationships/hyperlink" Target="mailto:pr1@anzhero.ru" TargetMode="External"/><Relationship Id="rId35" Type="http://schemas.openxmlformats.org/officeDocument/2006/relationships/hyperlink" Target="http://anzerkabeznalogov.ru/" TargetMode="External"/><Relationship Id="rId36" Type="http://schemas.openxmlformats.org/officeDocument/2006/relationships/hyperlink" Target="http://www.anzhero.ru/" TargetMode="External"/><Relationship Id="rId37" Type="http://schemas.openxmlformats.org/officeDocument/2006/relationships/image" Target="media/image19.png"/></Relationships>
</file>

<file path=word/_rels/header1.xml.rels><?xml version="1.0" encoding="UTF-8" standalone="yes" ?>
<Relationships xmlns="http://schemas.openxmlformats.org/package/2006/relationships"><Relationship Id="rId1" Type="http://schemas.openxmlformats.org/officeDocument/2006/relationships/hyperlink" Target="http://www.anzhero.ru/" TargetMode="External"/><Relationship Id="rId2" Type="http://schemas.openxmlformats.org/officeDocument/2006/relationships/hyperlink" Target="mailto:adm@anzhero.ru" TargetMode="External"/></Relationships>
</file>

<file path=word/_rels/header2.xml.rels><?xml version="1.0" encoding="UTF-8" standalone="yes" ?>
<Relationships xmlns="http://schemas.openxmlformats.org/package/2006/relationships"><Relationship Id="rId1" Type="http://schemas.openxmlformats.org/officeDocument/2006/relationships/hyperlink" Target="http://www.anzhero.ru/" TargetMode="External"/><Relationship Id="rId2" Type="http://schemas.openxmlformats.org/officeDocument/2006/relationships/hyperlink" Target="mailto:adm@anzhero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Times New Roman"/>
        <a:cs typeface="Times New Roman"/>
      </a:majorFont>
      <a:minorFont>
        <a:latin typeface="Arial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free rev.1216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12</cp:revision>
  <dcterms:created xsi:type="dcterms:W3CDTF">2024-11-18T06:41:00Z</dcterms:created>
  <dcterms:modified xsi:type="dcterms:W3CDTF">2024-12-02T07:31:51Z</dcterms:modified>
</cp:coreProperties>
</file>